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807E" w14:textId="77777777" w:rsidR="00846FD1" w:rsidRPr="003F2680" w:rsidRDefault="00A931D5" w:rsidP="00846FD1">
      <w:pPr>
        <w:pStyle w:val="NoSpacing"/>
        <w:pBdr>
          <w:bottom w:val="single" w:sz="4" w:space="1" w:color="auto"/>
        </w:pBdr>
        <w:jc w:val="center"/>
        <w:rPr>
          <w:b/>
          <w:bCs/>
          <w:i/>
          <w:color w:val="000000" w:themeColor="text1"/>
          <w:sz w:val="48"/>
          <w:szCs w:val="72"/>
        </w:rPr>
      </w:pPr>
      <w:r w:rsidRPr="00312C74">
        <w:rPr>
          <w:rFonts w:ascii="Arial" w:hAnsi="Arial" w:cs="Arial"/>
          <w:iCs/>
          <w:sz w:val="40"/>
          <w:szCs w:val="40"/>
        </w:rPr>
        <w:t xml:space="preserve">  </w:t>
      </w:r>
      <w:r w:rsidR="00846FD1" w:rsidRPr="003F2680">
        <w:rPr>
          <w:b/>
          <w:bCs/>
          <w:i/>
          <w:noProof/>
          <w:color w:val="000000" w:themeColor="text1"/>
          <w:sz w:val="48"/>
          <w:szCs w:val="72"/>
          <w:lang w:eastAsia="en-ZA"/>
        </w:rPr>
        <w:t>KAROO HOOGLAND</w:t>
      </w:r>
      <w:r w:rsidR="00846FD1" w:rsidRPr="003F2680">
        <w:rPr>
          <w:b/>
          <w:bCs/>
          <w:i/>
          <w:color w:val="000000" w:themeColor="text1"/>
          <w:sz w:val="48"/>
          <w:szCs w:val="72"/>
        </w:rPr>
        <w:t xml:space="preserve"> LOCAL MUNICIPALITY</w:t>
      </w:r>
    </w:p>
    <w:p w14:paraId="3C215D8E" w14:textId="77777777" w:rsidR="00846FD1" w:rsidRPr="007733A0" w:rsidRDefault="00846FD1" w:rsidP="00846FD1">
      <w:pPr>
        <w:jc w:val="center"/>
        <w:rPr>
          <w:rFonts w:asciiTheme="majorHAnsi" w:eastAsiaTheme="majorEastAsia" w:hAnsiTheme="majorHAnsi" w:cstheme="majorBidi"/>
          <w:color w:val="2F5496" w:themeColor="accent1" w:themeShade="BF"/>
          <w:sz w:val="72"/>
          <w:szCs w:val="72"/>
          <w:lang w:val="en-US"/>
        </w:rPr>
      </w:pPr>
    </w:p>
    <w:p w14:paraId="670EED1F" w14:textId="77777777" w:rsidR="00846FD1" w:rsidRPr="007733A0" w:rsidRDefault="00846FD1" w:rsidP="00846FD1">
      <w:pPr>
        <w:jc w:val="center"/>
        <w:rPr>
          <w:rFonts w:asciiTheme="majorHAnsi" w:eastAsiaTheme="majorEastAsia" w:hAnsiTheme="majorHAnsi" w:cstheme="majorBidi"/>
          <w:color w:val="2F5496" w:themeColor="accent1" w:themeShade="BF"/>
          <w:sz w:val="72"/>
          <w:szCs w:val="72"/>
          <w:lang w:val="en-US"/>
        </w:rPr>
      </w:pPr>
      <w:r w:rsidRPr="007733A0">
        <w:rPr>
          <w:b/>
          <w:bCs/>
          <w:noProof/>
          <w:sz w:val="72"/>
          <w:szCs w:val="72"/>
          <w:lang w:eastAsia="en-ZA"/>
        </w:rPr>
        <w:drawing>
          <wp:inline distT="0" distB="0" distL="0" distR="0" wp14:anchorId="25C1C8B6" wp14:editId="163DAC63">
            <wp:extent cx="2784707" cy="2924175"/>
            <wp:effectExtent l="0" t="0" r="0" b="0"/>
            <wp:docPr id="6" name="Picture 6" descr="C:\Users\Martin.Swanlow\AppData\Local\Microsoft\Windows\INetCache\Content.Outlook\6L7FNWSO\KH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Swanlow\AppData\Local\Microsoft\Windows\INetCache\Content.Outlook\6L7FNWSO\KHM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4707" cy="2924175"/>
                    </a:xfrm>
                    <a:prstGeom prst="rect">
                      <a:avLst/>
                    </a:prstGeom>
                    <a:noFill/>
                    <a:ln>
                      <a:noFill/>
                    </a:ln>
                  </pic:spPr>
                </pic:pic>
              </a:graphicData>
            </a:graphic>
          </wp:inline>
        </w:drawing>
      </w:r>
    </w:p>
    <w:p w14:paraId="1E9F68AB" w14:textId="647F3C6A" w:rsidR="005A30DF" w:rsidRPr="00312C74" w:rsidRDefault="008D42DD" w:rsidP="005A30DF">
      <w:pPr>
        <w:spacing w:line="0" w:lineRule="atLeast"/>
        <w:jc w:val="center"/>
        <w:rPr>
          <w:rFonts w:ascii="Arial" w:hAnsi="Arial" w:cs="Arial"/>
          <w:b/>
          <w:sz w:val="56"/>
        </w:rPr>
      </w:pPr>
      <w:r w:rsidRPr="00312C74">
        <w:rPr>
          <w:rFonts w:ascii="Arial" w:hAnsi="Arial" w:cs="Arial"/>
          <w:b/>
          <w:sz w:val="56"/>
        </w:rPr>
        <w:t xml:space="preserve">SECTION 52(D) </w:t>
      </w:r>
    </w:p>
    <w:p w14:paraId="4B2F3F07" w14:textId="77777777" w:rsidR="00846FD1" w:rsidRDefault="00846FD1" w:rsidP="00846FD1">
      <w:pPr>
        <w:spacing w:line="12" w:lineRule="exact"/>
        <w:jc w:val="center"/>
        <w:rPr>
          <w:rFonts w:ascii="Times New Roman" w:eastAsia="Times New Roman" w:hAnsi="Times New Roman"/>
          <w:sz w:val="24"/>
        </w:rPr>
      </w:pPr>
    </w:p>
    <w:p w14:paraId="6BCA708B" w14:textId="336E0098" w:rsidR="00846FD1" w:rsidRPr="00846FD1" w:rsidRDefault="00FC7539" w:rsidP="00846FD1">
      <w:pPr>
        <w:spacing w:line="239" w:lineRule="auto"/>
        <w:jc w:val="center"/>
        <w:rPr>
          <w:b/>
          <w:color w:val="538135" w:themeColor="accent6" w:themeShade="BF"/>
          <w:sz w:val="72"/>
        </w:rPr>
      </w:pPr>
      <w:r>
        <w:rPr>
          <w:b/>
          <w:color w:val="538135" w:themeColor="accent6" w:themeShade="BF"/>
          <w:sz w:val="72"/>
        </w:rPr>
        <w:t>202</w:t>
      </w:r>
      <w:r w:rsidR="00EC4EED">
        <w:rPr>
          <w:b/>
          <w:color w:val="538135" w:themeColor="accent6" w:themeShade="BF"/>
          <w:sz w:val="72"/>
        </w:rPr>
        <w:t>4</w:t>
      </w:r>
      <w:r>
        <w:rPr>
          <w:b/>
          <w:color w:val="538135" w:themeColor="accent6" w:themeShade="BF"/>
          <w:sz w:val="72"/>
        </w:rPr>
        <w:t>/202</w:t>
      </w:r>
      <w:r w:rsidR="00EC4EED">
        <w:rPr>
          <w:b/>
          <w:color w:val="538135" w:themeColor="accent6" w:themeShade="BF"/>
          <w:sz w:val="72"/>
        </w:rPr>
        <w:t>5</w:t>
      </w:r>
    </w:p>
    <w:p w14:paraId="504C829A" w14:textId="45A14C65" w:rsidR="00846FD1" w:rsidRPr="008D42DD" w:rsidRDefault="00FC7539" w:rsidP="00846FD1">
      <w:pPr>
        <w:spacing w:line="239" w:lineRule="auto"/>
        <w:jc w:val="center"/>
        <w:rPr>
          <w:b/>
          <w:color w:val="538135" w:themeColor="accent6" w:themeShade="BF"/>
          <w:sz w:val="48"/>
        </w:rPr>
      </w:pPr>
      <w:r>
        <w:rPr>
          <w:b/>
          <w:color w:val="538135" w:themeColor="accent6" w:themeShade="BF"/>
          <w:sz w:val="48"/>
        </w:rPr>
        <w:t xml:space="preserve">QUARTER </w:t>
      </w:r>
      <w:r w:rsidR="00A3008B">
        <w:rPr>
          <w:b/>
          <w:color w:val="538135" w:themeColor="accent6" w:themeShade="BF"/>
          <w:sz w:val="48"/>
        </w:rPr>
        <w:t>2</w:t>
      </w:r>
    </w:p>
    <w:p w14:paraId="223B1C66" w14:textId="6C7370DE" w:rsidR="00846FD1" w:rsidRDefault="00846FD1" w:rsidP="00846FD1">
      <w:pPr>
        <w:spacing w:line="239" w:lineRule="auto"/>
        <w:jc w:val="center"/>
        <w:rPr>
          <w:b/>
          <w:color w:val="538135" w:themeColor="accent6" w:themeShade="BF"/>
          <w:sz w:val="48"/>
        </w:rPr>
      </w:pPr>
      <w:r w:rsidRPr="00846FD1">
        <w:rPr>
          <w:b/>
          <w:color w:val="538135" w:themeColor="accent6" w:themeShade="BF"/>
          <w:sz w:val="48"/>
        </w:rPr>
        <w:t xml:space="preserve">(01 </w:t>
      </w:r>
      <w:r w:rsidR="00A3008B">
        <w:rPr>
          <w:b/>
          <w:color w:val="538135" w:themeColor="accent6" w:themeShade="BF"/>
          <w:sz w:val="48"/>
        </w:rPr>
        <w:t>October</w:t>
      </w:r>
      <w:r w:rsidR="008D42DD">
        <w:rPr>
          <w:b/>
          <w:color w:val="538135" w:themeColor="accent6" w:themeShade="BF"/>
          <w:sz w:val="48"/>
        </w:rPr>
        <w:t xml:space="preserve"> 202</w:t>
      </w:r>
      <w:r w:rsidR="00EC4EED">
        <w:rPr>
          <w:b/>
          <w:color w:val="538135" w:themeColor="accent6" w:themeShade="BF"/>
          <w:sz w:val="48"/>
        </w:rPr>
        <w:t>4</w:t>
      </w:r>
      <w:r w:rsidRPr="00846FD1">
        <w:rPr>
          <w:b/>
          <w:color w:val="538135" w:themeColor="accent6" w:themeShade="BF"/>
          <w:sz w:val="48"/>
        </w:rPr>
        <w:t xml:space="preserve"> – </w:t>
      </w:r>
      <w:r w:rsidR="00A3008B">
        <w:rPr>
          <w:b/>
          <w:color w:val="538135" w:themeColor="accent6" w:themeShade="BF"/>
          <w:sz w:val="48"/>
        </w:rPr>
        <w:t>31</w:t>
      </w:r>
      <w:r w:rsidR="00FC7539">
        <w:rPr>
          <w:b/>
          <w:color w:val="538135" w:themeColor="accent6" w:themeShade="BF"/>
          <w:sz w:val="48"/>
        </w:rPr>
        <w:t xml:space="preserve"> </w:t>
      </w:r>
      <w:r w:rsidR="00A3008B">
        <w:rPr>
          <w:b/>
          <w:color w:val="538135" w:themeColor="accent6" w:themeShade="BF"/>
          <w:sz w:val="48"/>
        </w:rPr>
        <w:t>December</w:t>
      </w:r>
      <w:r w:rsidR="00FC7539">
        <w:rPr>
          <w:b/>
          <w:color w:val="538135" w:themeColor="accent6" w:themeShade="BF"/>
          <w:sz w:val="48"/>
        </w:rPr>
        <w:t xml:space="preserve"> 202</w:t>
      </w:r>
      <w:r w:rsidR="005A30DF">
        <w:rPr>
          <w:b/>
          <w:color w:val="538135" w:themeColor="accent6" w:themeShade="BF"/>
          <w:sz w:val="48"/>
        </w:rPr>
        <w:t>4</w:t>
      </w:r>
      <w:r w:rsidRPr="00846FD1">
        <w:rPr>
          <w:b/>
          <w:color w:val="538135" w:themeColor="accent6" w:themeShade="BF"/>
          <w:sz w:val="48"/>
        </w:rPr>
        <w:t>)</w:t>
      </w:r>
    </w:p>
    <w:p w14:paraId="236FEB11" w14:textId="5DD45904" w:rsidR="00846FD1" w:rsidRPr="00846FD1" w:rsidRDefault="00846FD1" w:rsidP="00846FD1">
      <w:pPr>
        <w:shd w:val="clear" w:color="auto" w:fill="92D050"/>
        <w:spacing w:line="239" w:lineRule="auto"/>
        <w:jc w:val="center"/>
        <w:rPr>
          <w:b/>
          <w:sz w:val="44"/>
        </w:rPr>
      </w:pPr>
      <w:r w:rsidRPr="00846FD1">
        <w:rPr>
          <w:b/>
          <w:sz w:val="44"/>
        </w:rPr>
        <w:t xml:space="preserve">FOR THE </w:t>
      </w:r>
      <w:r w:rsidR="00FC7539">
        <w:rPr>
          <w:b/>
          <w:sz w:val="44"/>
        </w:rPr>
        <w:t>202</w:t>
      </w:r>
      <w:r w:rsidR="00EC4EED">
        <w:rPr>
          <w:b/>
          <w:sz w:val="44"/>
        </w:rPr>
        <w:t>4</w:t>
      </w:r>
      <w:r w:rsidR="00FC7539">
        <w:rPr>
          <w:b/>
          <w:sz w:val="44"/>
        </w:rPr>
        <w:t>/202</w:t>
      </w:r>
      <w:r w:rsidR="00EC4EED">
        <w:rPr>
          <w:b/>
          <w:sz w:val="44"/>
        </w:rPr>
        <w:t>5</w:t>
      </w:r>
      <w:r w:rsidRPr="00846FD1">
        <w:rPr>
          <w:b/>
          <w:sz w:val="44"/>
        </w:rPr>
        <w:t xml:space="preserve"> FINANCIAL YEAR</w:t>
      </w:r>
    </w:p>
    <w:p w14:paraId="50BD2F59" w14:textId="77777777" w:rsidR="00846FD1" w:rsidRPr="00845263" w:rsidRDefault="00846FD1" w:rsidP="00846FD1">
      <w:pPr>
        <w:pStyle w:val="ListParagraph"/>
        <w:spacing w:line="239" w:lineRule="auto"/>
        <w:jc w:val="center"/>
        <w:rPr>
          <w:rFonts w:ascii="Arial" w:hAnsi="Arial" w:cs="Arial"/>
          <w:i/>
          <w:sz w:val="18"/>
          <w:szCs w:val="72"/>
        </w:rPr>
      </w:pPr>
      <w:r>
        <w:rPr>
          <w:rFonts w:ascii="Arial" w:hAnsi="Arial" w:cs="Arial"/>
          <w:b/>
          <w:sz w:val="72"/>
          <w:szCs w:val="72"/>
        </w:rPr>
        <w:t xml:space="preserve"> </w:t>
      </w:r>
      <w:r w:rsidRPr="00845263">
        <w:rPr>
          <w:rFonts w:ascii="Arial" w:hAnsi="Arial" w:cs="Arial"/>
          <w:i/>
          <w:sz w:val="18"/>
          <w:szCs w:val="72"/>
        </w:rPr>
        <w:t xml:space="preserve">Prepared in terms of the Local Government Municipal Finance Management Act, 2003: Municipal Budget and Reporting Regulations </w:t>
      </w:r>
    </w:p>
    <w:p w14:paraId="5D8AA9F5" w14:textId="0DCEC67E" w:rsidR="00AA0025" w:rsidRDefault="00AA0025" w:rsidP="00846FD1">
      <w:pPr>
        <w:pStyle w:val="NoSpacing"/>
        <w:pBdr>
          <w:bottom w:val="single" w:sz="4" w:space="1" w:color="auto"/>
        </w:pBdr>
        <w:jc w:val="center"/>
        <w:rPr>
          <w:rFonts w:ascii="Arial" w:hAnsi="Arial" w:cs="Arial"/>
        </w:rPr>
        <w:sectPr w:rsidR="00AA0025" w:rsidSect="003E1C00">
          <w:footerReference w:type="default" r:id="rId9"/>
          <w:pgSz w:w="11906" w:h="16838" w:code="9"/>
          <w:pgMar w:top="1440" w:right="926" w:bottom="1440" w:left="1440" w:header="709" w:footer="709" w:gutter="0"/>
          <w:pgNumType w:start="1"/>
          <w:cols w:space="708"/>
          <w:docGrid w:linePitch="360"/>
        </w:sectPr>
      </w:pPr>
    </w:p>
    <w:p w14:paraId="447DF66F" w14:textId="77777777" w:rsidR="00AA0025" w:rsidRDefault="00AA0025">
      <w:pPr>
        <w:rPr>
          <w:rFonts w:ascii="Arial" w:hAnsi="Arial" w:cs="Arial"/>
        </w:rPr>
      </w:pPr>
      <w:r>
        <w:rPr>
          <w:rFonts w:ascii="Arial" w:hAnsi="Arial" w:cs="Arial"/>
        </w:rPr>
        <w:br w:type="page"/>
      </w:r>
    </w:p>
    <w:p w14:paraId="3A953E4B" w14:textId="4BDEFC32" w:rsidR="00AA0025" w:rsidRDefault="00AA0025" w:rsidP="00AA0025">
      <w:pPr>
        <w:contextualSpacing/>
        <w:jc w:val="center"/>
        <w:rPr>
          <w:rFonts w:ascii="Arial" w:hAnsi="Arial" w:cs="Arial"/>
        </w:rPr>
        <w:sectPr w:rsidR="00AA0025" w:rsidSect="003E1C00">
          <w:footerReference w:type="default" r:id="rId10"/>
          <w:type w:val="continuous"/>
          <w:pgSz w:w="11906" w:h="16838" w:code="9"/>
          <w:pgMar w:top="1440" w:right="926" w:bottom="1440" w:left="1440" w:header="709" w:footer="709" w:gutter="0"/>
          <w:pgNumType w:start="1"/>
          <w:cols w:space="708"/>
          <w:docGrid w:linePitch="360"/>
        </w:sectPr>
      </w:pPr>
      <w:r>
        <w:rPr>
          <w:rFonts w:ascii="Arial" w:hAnsi="Arial" w:cs="Arial"/>
        </w:rPr>
        <w:t xml:space="preserve"> </w:t>
      </w:r>
    </w:p>
    <w:p w14:paraId="0579998A" w14:textId="77777777" w:rsidR="008126A8" w:rsidRPr="00312C74" w:rsidRDefault="008126A8" w:rsidP="008126A8">
      <w:pPr>
        <w:pStyle w:val="Heading2"/>
      </w:pPr>
      <w:bookmarkStart w:id="0" w:name="_Toc81231267"/>
      <w:bookmarkStart w:id="1" w:name="_Toc180746323"/>
      <w:bookmarkStart w:id="2" w:name="_Hlk54444822"/>
      <w:r w:rsidRPr="00312C74">
        <w:t>ACCRONYMS AND ABBREVIATIONS</w:t>
      </w:r>
      <w:bookmarkEnd w:id="0"/>
      <w:bookmarkEnd w:id="1"/>
    </w:p>
    <w:p w14:paraId="2503FE7A" w14:textId="77777777" w:rsidR="008126A8" w:rsidRPr="00312C74" w:rsidRDefault="008126A8" w:rsidP="008126A8">
      <w:pPr>
        <w:rPr>
          <w:rFonts w:ascii="Arial" w:hAnsi="Arial" w:cs="Arial"/>
        </w:rPr>
      </w:pPr>
    </w:p>
    <w:p w14:paraId="254662C4" w14:textId="77777777" w:rsidR="008126A8" w:rsidRPr="00312C74" w:rsidRDefault="008126A8" w:rsidP="008126A8">
      <w:pPr>
        <w:rPr>
          <w:rFonts w:ascii="Arial" w:hAnsi="Arial" w:cs="Arial"/>
        </w:rPr>
      </w:pPr>
      <w:r w:rsidRPr="00312C74">
        <w:rPr>
          <w:rFonts w:ascii="Arial" w:hAnsi="Arial" w:cs="Arial"/>
        </w:rPr>
        <w:t>MSA</w:t>
      </w:r>
      <w:r w:rsidRPr="00312C74">
        <w:rPr>
          <w:rFonts w:ascii="Arial" w:hAnsi="Arial" w:cs="Arial"/>
        </w:rPr>
        <w:tab/>
      </w:r>
      <w:r w:rsidRPr="00312C74">
        <w:rPr>
          <w:rFonts w:ascii="Arial" w:hAnsi="Arial" w:cs="Arial"/>
        </w:rPr>
        <w:tab/>
        <w:t>Local Government: Municipal Systems Act, 32 (Act 32 of 2000)</w:t>
      </w:r>
    </w:p>
    <w:p w14:paraId="1847C7E1" w14:textId="77777777" w:rsidR="008126A8" w:rsidRPr="00312C74" w:rsidRDefault="008126A8" w:rsidP="008126A8">
      <w:pPr>
        <w:rPr>
          <w:rFonts w:ascii="Arial" w:hAnsi="Arial" w:cs="Arial"/>
        </w:rPr>
      </w:pPr>
      <w:r w:rsidRPr="00312C74">
        <w:rPr>
          <w:rFonts w:ascii="Arial" w:hAnsi="Arial" w:cs="Arial"/>
        </w:rPr>
        <w:t>KHM</w:t>
      </w:r>
      <w:r w:rsidRPr="00312C74">
        <w:rPr>
          <w:rFonts w:ascii="Arial" w:hAnsi="Arial" w:cs="Arial"/>
        </w:rPr>
        <w:tab/>
      </w:r>
      <w:r w:rsidRPr="00312C74">
        <w:rPr>
          <w:rFonts w:ascii="Arial" w:hAnsi="Arial" w:cs="Arial"/>
        </w:rPr>
        <w:tab/>
        <w:t>Karoo Hoogland Municipality</w:t>
      </w:r>
    </w:p>
    <w:p w14:paraId="14CBD1F1" w14:textId="77777777" w:rsidR="008126A8" w:rsidRPr="00312C74" w:rsidRDefault="008126A8" w:rsidP="008126A8">
      <w:pPr>
        <w:rPr>
          <w:rFonts w:ascii="Arial" w:hAnsi="Arial" w:cs="Arial"/>
        </w:rPr>
      </w:pPr>
      <w:r w:rsidRPr="00312C74">
        <w:rPr>
          <w:rFonts w:ascii="Arial" w:hAnsi="Arial" w:cs="Arial"/>
        </w:rPr>
        <w:t>SDBIP</w:t>
      </w:r>
      <w:r w:rsidRPr="00312C74">
        <w:rPr>
          <w:rFonts w:ascii="Arial" w:hAnsi="Arial" w:cs="Arial"/>
        </w:rPr>
        <w:tab/>
      </w:r>
      <w:r w:rsidRPr="00312C74">
        <w:rPr>
          <w:rFonts w:ascii="Arial" w:hAnsi="Arial" w:cs="Arial"/>
        </w:rPr>
        <w:tab/>
        <w:t>Service Delivery and Budget Implementation Plan</w:t>
      </w:r>
    </w:p>
    <w:p w14:paraId="6A41BDCD" w14:textId="77777777" w:rsidR="008126A8" w:rsidRPr="00312C74" w:rsidRDefault="008126A8" w:rsidP="008126A8">
      <w:pPr>
        <w:rPr>
          <w:rFonts w:ascii="Arial" w:hAnsi="Arial" w:cs="Arial"/>
        </w:rPr>
      </w:pPr>
      <w:r w:rsidRPr="00312C74">
        <w:rPr>
          <w:rFonts w:ascii="Arial" w:hAnsi="Arial" w:cs="Arial"/>
        </w:rPr>
        <w:t>MFMA</w:t>
      </w:r>
      <w:r w:rsidRPr="00312C74">
        <w:rPr>
          <w:rFonts w:ascii="Arial" w:hAnsi="Arial" w:cs="Arial"/>
        </w:rPr>
        <w:tab/>
      </w:r>
      <w:r w:rsidRPr="00312C74">
        <w:rPr>
          <w:rFonts w:ascii="Arial" w:hAnsi="Arial" w:cs="Arial"/>
        </w:rPr>
        <w:tab/>
        <w:t>Municipal Finance management Act</w:t>
      </w:r>
    </w:p>
    <w:p w14:paraId="771B449A" w14:textId="77777777" w:rsidR="008126A8" w:rsidRPr="00312C74" w:rsidRDefault="008126A8" w:rsidP="008126A8">
      <w:pPr>
        <w:rPr>
          <w:rFonts w:ascii="Arial" w:hAnsi="Arial" w:cs="Arial"/>
        </w:rPr>
      </w:pPr>
      <w:r w:rsidRPr="00312C74">
        <w:rPr>
          <w:rFonts w:ascii="Arial" w:hAnsi="Arial" w:cs="Arial"/>
        </w:rPr>
        <w:t>KPA</w:t>
      </w:r>
      <w:r w:rsidRPr="00312C74">
        <w:rPr>
          <w:rFonts w:ascii="Arial" w:hAnsi="Arial" w:cs="Arial"/>
        </w:rPr>
        <w:tab/>
      </w:r>
      <w:r w:rsidRPr="00312C74">
        <w:rPr>
          <w:rFonts w:ascii="Arial" w:hAnsi="Arial" w:cs="Arial"/>
        </w:rPr>
        <w:tab/>
        <w:t>Key Performance Area</w:t>
      </w:r>
    </w:p>
    <w:p w14:paraId="6C23ADB2" w14:textId="77777777" w:rsidR="008126A8" w:rsidRPr="00312C74" w:rsidRDefault="008126A8" w:rsidP="008126A8">
      <w:pPr>
        <w:rPr>
          <w:rFonts w:ascii="Arial" w:hAnsi="Arial" w:cs="Arial"/>
        </w:rPr>
      </w:pPr>
      <w:r w:rsidRPr="00312C74">
        <w:rPr>
          <w:rFonts w:ascii="Arial" w:hAnsi="Arial" w:cs="Arial"/>
        </w:rPr>
        <w:t>KFA</w:t>
      </w:r>
      <w:r w:rsidRPr="00312C74">
        <w:rPr>
          <w:rFonts w:ascii="Arial" w:hAnsi="Arial" w:cs="Arial"/>
        </w:rPr>
        <w:tab/>
      </w:r>
      <w:r w:rsidRPr="00312C74">
        <w:rPr>
          <w:rFonts w:ascii="Arial" w:hAnsi="Arial" w:cs="Arial"/>
        </w:rPr>
        <w:tab/>
        <w:t>Key Focus Areas</w:t>
      </w:r>
    </w:p>
    <w:p w14:paraId="2FCB7948" w14:textId="77777777" w:rsidR="008126A8" w:rsidRPr="00312C74" w:rsidRDefault="008126A8" w:rsidP="008126A8">
      <w:pPr>
        <w:rPr>
          <w:rFonts w:ascii="Arial" w:hAnsi="Arial" w:cs="Arial"/>
        </w:rPr>
      </w:pPr>
      <w:r w:rsidRPr="00312C74">
        <w:rPr>
          <w:rFonts w:ascii="Arial" w:hAnsi="Arial" w:cs="Arial"/>
        </w:rPr>
        <w:t>KPI</w:t>
      </w:r>
      <w:r w:rsidRPr="00312C74">
        <w:rPr>
          <w:rFonts w:ascii="Arial" w:hAnsi="Arial" w:cs="Arial"/>
        </w:rPr>
        <w:tab/>
      </w:r>
      <w:r w:rsidRPr="00312C74">
        <w:rPr>
          <w:rFonts w:ascii="Arial" w:hAnsi="Arial" w:cs="Arial"/>
        </w:rPr>
        <w:tab/>
        <w:t>Key Performance Indicators</w:t>
      </w:r>
    </w:p>
    <w:p w14:paraId="2BF87D20" w14:textId="77777777" w:rsidR="008126A8" w:rsidRDefault="008126A8" w:rsidP="008126A8">
      <w:pPr>
        <w:rPr>
          <w:rFonts w:ascii="Arial" w:hAnsi="Arial" w:cs="Arial"/>
        </w:rPr>
      </w:pPr>
      <w:r w:rsidRPr="00312C74">
        <w:rPr>
          <w:rFonts w:ascii="Arial" w:hAnsi="Arial" w:cs="Arial"/>
        </w:rPr>
        <w:t>MM</w:t>
      </w:r>
      <w:r w:rsidRPr="00312C74">
        <w:rPr>
          <w:rFonts w:ascii="Arial" w:hAnsi="Arial" w:cs="Arial"/>
        </w:rPr>
        <w:tab/>
      </w:r>
      <w:r w:rsidRPr="00312C74">
        <w:rPr>
          <w:rFonts w:ascii="Arial" w:hAnsi="Arial" w:cs="Arial"/>
        </w:rPr>
        <w:tab/>
        <w:t>Municipal Manager</w:t>
      </w:r>
    </w:p>
    <w:p w14:paraId="18DC0DC7" w14:textId="77777777" w:rsidR="008126A8" w:rsidRDefault="008126A8" w:rsidP="008126A8">
      <w:pPr>
        <w:rPr>
          <w:rFonts w:ascii="Arial" w:hAnsi="Arial" w:cs="Arial"/>
        </w:rPr>
      </w:pPr>
    </w:p>
    <w:p w14:paraId="4D093FF8" w14:textId="76E7DB2A" w:rsidR="008126A8" w:rsidRDefault="008126A8">
      <w:pPr>
        <w:rPr>
          <w:rFonts w:ascii="Arial" w:hAnsi="Arial" w:cs="Arial"/>
        </w:rPr>
      </w:pPr>
      <w:r>
        <w:rPr>
          <w:rFonts w:ascii="Arial" w:hAnsi="Arial" w:cs="Arial"/>
        </w:rPr>
        <w:br w:type="page"/>
      </w:r>
    </w:p>
    <w:p w14:paraId="40BEE9D0" w14:textId="3793D919" w:rsidR="004D44A9" w:rsidRPr="00312C74" w:rsidRDefault="00550DFE" w:rsidP="00550DFE">
      <w:pPr>
        <w:pStyle w:val="Heading2"/>
      </w:pPr>
      <w:bookmarkStart w:id="3" w:name="_Toc180746324"/>
      <w:r w:rsidRPr="00312C74">
        <w:t>GRADING OF MUNICIPALITY</w:t>
      </w:r>
      <w:bookmarkEnd w:id="3"/>
    </w:p>
    <w:bookmarkEnd w:id="2"/>
    <w:p w14:paraId="19CBEBC3" w14:textId="77777777" w:rsidR="0046069A" w:rsidRDefault="004D44A9" w:rsidP="004D44A9">
      <w:pPr>
        <w:jc w:val="both"/>
        <w:rPr>
          <w:rFonts w:ascii="Arial" w:hAnsi="Arial" w:cs="Arial"/>
          <w:b/>
          <w:sz w:val="20"/>
        </w:rPr>
      </w:pPr>
      <w:r w:rsidRPr="00312C74">
        <w:rPr>
          <w:rFonts w:ascii="Arial" w:hAnsi="Arial" w:cs="Arial"/>
          <w:sz w:val="20"/>
          <w:lang w:eastAsia="en-ZA"/>
        </w:rPr>
        <w:t xml:space="preserve">The Karoo Hoogland Municipality was established in 2000. Karoo Hoogland is a </w:t>
      </w:r>
      <w:r w:rsidRPr="00312C74">
        <w:rPr>
          <w:rFonts w:ascii="Arial" w:hAnsi="Arial" w:cs="Arial"/>
          <w:b/>
          <w:sz w:val="20"/>
          <w:lang w:eastAsia="en-ZA"/>
        </w:rPr>
        <w:t>category B municipality</w:t>
      </w:r>
      <w:r w:rsidRPr="00312C74">
        <w:rPr>
          <w:rFonts w:ascii="Arial" w:hAnsi="Arial" w:cs="Arial"/>
          <w:sz w:val="20"/>
          <w:lang w:eastAsia="en-ZA"/>
        </w:rPr>
        <w:t xml:space="preserve"> as determined in terms of Municipal Structures Act (1998</w:t>
      </w:r>
      <w:r w:rsidRPr="0046069A">
        <w:rPr>
          <w:rFonts w:ascii="Arial" w:hAnsi="Arial" w:cs="Arial"/>
          <w:sz w:val="20"/>
          <w:lang w:eastAsia="en-ZA"/>
        </w:rPr>
        <w:t xml:space="preserve">).   </w:t>
      </w:r>
      <w:r w:rsidRPr="0046069A">
        <w:rPr>
          <w:rFonts w:ascii="Arial" w:hAnsi="Arial" w:cs="Arial"/>
          <w:sz w:val="20"/>
        </w:rPr>
        <w:t>In terms of Section 9 of the Local Government: Municipal Structures Act (No. 117 of 1998)</w:t>
      </w:r>
      <w:r w:rsidR="00F23534" w:rsidRPr="0046069A">
        <w:rPr>
          <w:rFonts w:ascii="Arial" w:hAnsi="Arial" w:cs="Arial"/>
          <w:sz w:val="20"/>
        </w:rPr>
        <w:t>as amended,</w:t>
      </w:r>
      <w:r w:rsidRPr="0046069A">
        <w:rPr>
          <w:rFonts w:ascii="Arial" w:hAnsi="Arial" w:cs="Arial"/>
          <w:sz w:val="20"/>
        </w:rPr>
        <w:t xml:space="preserve"> KHM is a Category B municipality</w:t>
      </w:r>
      <w:r w:rsidR="00F23534" w:rsidRPr="0046069A">
        <w:rPr>
          <w:rFonts w:ascii="Arial" w:hAnsi="Arial" w:cs="Arial"/>
          <w:sz w:val="20"/>
        </w:rPr>
        <w:t xml:space="preserve"> and had a</w:t>
      </w:r>
      <w:r w:rsidRPr="0046069A">
        <w:rPr>
          <w:rFonts w:ascii="Arial" w:hAnsi="Arial" w:cs="Arial"/>
          <w:sz w:val="20"/>
        </w:rPr>
        <w:t xml:space="preserve"> plenary executive system combined with a ward participatory system.</w:t>
      </w:r>
      <w:r w:rsidR="0046069A">
        <w:rPr>
          <w:rFonts w:ascii="Arial" w:hAnsi="Arial" w:cs="Arial"/>
          <w:b/>
          <w:sz w:val="20"/>
        </w:rPr>
        <w:t xml:space="preserve"> </w:t>
      </w:r>
    </w:p>
    <w:p w14:paraId="3F2ACF90" w14:textId="77777777" w:rsidR="0046069A" w:rsidRPr="00312C74" w:rsidRDefault="0046069A" w:rsidP="0046069A">
      <w:pPr>
        <w:autoSpaceDE w:val="0"/>
        <w:autoSpaceDN w:val="0"/>
        <w:adjustRightInd w:val="0"/>
        <w:jc w:val="both"/>
        <w:rPr>
          <w:rFonts w:ascii="Arial" w:hAnsi="Arial" w:cs="Arial"/>
          <w:i/>
          <w:noProof/>
          <w:lang w:eastAsia="en-ZA"/>
        </w:rPr>
      </w:pPr>
      <w:r w:rsidRPr="00312C74">
        <w:rPr>
          <w:rFonts w:ascii="Arial" w:hAnsi="Arial" w:cs="Arial"/>
          <w:sz w:val="20"/>
          <w:lang w:eastAsia="en-ZA"/>
        </w:rPr>
        <w:t>The establishment of the municipality fulfilled the local government transformation process as articulated by the White Paper on Local Government, 1998. The White Paper envisaged the form and nature of new local government structures in the country. The new local government structures are mandated to improve the quality of life of their citizens and residents.  In terms of its category B status the Karoo Hoogland Municipality has been empowered to perform the</w:t>
      </w:r>
      <w:r w:rsidRPr="00312C74">
        <w:rPr>
          <w:rFonts w:ascii="Arial" w:hAnsi="Arial" w:cs="Arial"/>
          <w:b/>
          <w:sz w:val="20"/>
          <w:lang w:eastAsia="en-ZA"/>
        </w:rPr>
        <w:t xml:space="preserve"> functions</w:t>
      </w:r>
      <w:r w:rsidRPr="00312C74">
        <w:rPr>
          <w:rFonts w:ascii="Arial" w:hAnsi="Arial" w:cs="Arial"/>
          <w:sz w:val="20"/>
          <w:lang w:eastAsia="en-ZA"/>
        </w:rPr>
        <w:t xml:space="preserve"> as bestowed upon it by the Constitution in terms of section 156(1) and the division of powers and functions.  </w:t>
      </w:r>
    </w:p>
    <w:p w14:paraId="771CA2E8" w14:textId="595181EB" w:rsidR="004D44A9" w:rsidRPr="00846FD1" w:rsidRDefault="0046069A" w:rsidP="004D44A9">
      <w:pPr>
        <w:jc w:val="both"/>
        <w:rPr>
          <w:rFonts w:ascii="Arial" w:hAnsi="Arial" w:cs="Arial"/>
          <w:b/>
          <w:i/>
        </w:rPr>
      </w:pPr>
      <w:r>
        <w:rPr>
          <w:rFonts w:ascii="Arial" w:hAnsi="Arial" w:cs="Arial"/>
          <w:b/>
          <w:sz w:val="20"/>
        </w:rPr>
        <w:t>From</w:t>
      </w:r>
      <w:r w:rsidR="00846FD1" w:rsidRPr="00846FD1">
        <w:rPr>
          <w:rFonts w:ascii="Arial" w:hAnsi="Arial" w:cs="Arial"/>
          <w:b/>
          <w:i/>
          <w:sz w:val="20"/>
        </w:rPr>
        <w:t xml:space="preserve"> 1 November 2021 the Structures Act was amended and Karo</w:t>
      </w:r>
      <w:r>
        <w:rPr>
          <w:rFonts w:ascii="Arial" w:hAnsi="Arial" w:cs="Arial"/>
          <w:b/>
          <w:i/>
          <w:sz w:val="20"/>
        </w:rPr>
        <w:t>o Hoogland Municipality is now still a</w:t>
      </w:r>
      <w:r w:rsidR="00846FD1" w:rsidRPr="00846FD1">
        <w:rPr>
          <w:rFonts w:ascii="Arial" w:hAnsi="Arial" w:cs="Arial"/>
          <w:b/>
          <w:i/>
          <w:sz w:val="20"/>
        </w:rPr>
        <w:t xml:space="preserve"> </w:t>
      </w:r>
      <w:r w:rsidR="00846FD1" w:rsidRPr="00312C74">
        <w:rPr>
          <w:rFonts w:ascii="Arial" w:hAnsi="Arial" w:cs="Arial"/>
          <w:b/>
          <w:sz w:val="20"/>
        </w:rPr>
        <w:t xml:space="preserve">Category B municipality </w:t>
      </w:r>
      <w:r>
        <w:rPr>
          <w:rFonts w:ascii="Arial" w:hAnsi="Arial" w:cs="Arial"/>
          <w:b/>
          <w:sz w:val="20"/>
        </w:rPr>
        <w:t xml:space="preserve">but </w:t>
      </w:r>
      <w:r w:rsidR="00846FD1" w:rsidRPr="00312C74">
        <w:rPr>
          <w:rFonts w:ascii="Arial" w:hAnsi="Arial" w:cs="Arial"/>
          <w:b/>
          <w:sz w:val="20"/>
        </w:rPr>
        <w:t xml:space="preserve">with a </w:t>
      </w:r>
      <w:r w:rsidR="00846FD1" w:rsidRPr="00846FD1">
        <w:rPr>
          <w:rFonts w:ascii="Arial" w:hAnsi="Arial" w:cs="Arial"/>
          <w:b/>
          <w:i/>
          <w:sz w:val="20"/>
          <w:u w:val="single"/>
        </w:rPr>
        <w:t>collective executive system combined with a ward participatory system.</w:t>
      </w:r>
      <w:r w:rsidR="00846FD1" w:rsidRPr="00846FD1">
        <w:rPr>
          <w:rFonts w:ascii="Arial" w:hAnsi="Arial" w:cs="Arial"/>
          <w:b/>
          <w:i/>
          <w:sz w:val="20"/>
        </w:rPr>
        <w:t xml:space="preserve"> </w:t>
      </w:r>
    </w:p>
    <w:p w14:paraId="1BF7FB11" w14:textId="299E763D" w:rsidR="004D44A9" w:rsidRPr="00312C74" w:rsidRDefault="004D44A9" w:rsidP="004D44A9">
      <w:pPr>
        <w:rPr>
          <w:rFonts w:ascii="Arial" w:hAnsi="Arial" w:cs="Arial"/>
          <w:i/>
          <w:iCs/>
        </w:rPr>
      </w:pPr>
    </w:p>
    <w:p w14:paraId="13677E8A" w14:textId="77777777" w:rsidR="004D44A9" w:rsidRPr="00312C74" w:rsidRDefault="004D44A9" w:rsidP="00550DFE">
      <w:pPr>
        <w:pStyle w:val="Heading2"/>
      </w:pPr>
      <w:bookmarkStart w:id="4" w:name="_Toc81231274"/>
      <w:bookmarkStart w:id="5" w:name="_Toc180746325"/>
      <w:r w:rsidRPr="00312C74">
        <w:t xml:space="preserve">OVERVIEW OF </w:t>
      </w:r>
      <w:r w:rsidRPr="00312C74">
        <w:rPr>
          <w:sz w:val="32"/>
        </w:rPr>
        <w:t>PERFORMANCE</w:t>
      </w:r>
      <w:r w:rsidRPr="00312C74">
        <w:t xml:space="preserve"> WITHIN THE ORGANISATION</w:t>
      </w:r>
      <w:bookmarkEnd w:id="4"/>
      <w:bookmarkEnd w:id="5"/>
    </w:p>
    <w:p w14:paraId="046E32ED"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Performance management is a process which measures the implementation of the organisation’s strategy. It is also a management tool to plan, monitor, measure and review individual performance indicators to ensure efficiency, effectiveness and the impact of service delivery by the Municipality.</w:t>
      </w:r>
    </w:p>
    <w:p w14:paraId="12A469D2"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p>
    <w:p w14:paraId="487C47D9"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At local government level performance management is institutionalized through the legislative requirements on the performance management process for Local Government. Performance management provides the mechanism to measure whether targets to meet its strategic goals, set by the organisation and its employees, are met.</w:t>
      </w:r>
    </w:p>
    <w:p w14:paraId="62DD3043"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p>
    <w:p w14:paraId="5A9171C6"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Some of the legislative prescripts include: Section 152 of the Constitution of the Republic (1996), section 152 local government to be “democratic and accountable government”. Section 195 (1) of the Constitution requires the following from local government, inter alia:</w:t>
      </w:r>
    </w:p>
    <w:p w14:paraId="18C6A74D"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the promotion of efficient, economic and effective use of resources,</w:t>
      </w:r>
    </w:p>
    <w:p w14:paraId="180CFDCE"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accountable public administration,</w:t>
      </w:r>
    </w:p>
    <w:p w14:paraId="45719097"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be transparent by providing information,</w:t>
      </w:r>
    </w:p>
    <w:p w14:paraId="30C4D902"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be responsive to the needs of the community, and</w:t>
      </w:r>
    </w:p>
    <w:p w14:paraId="0AC5E7A3"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facilitate a culture of public service and accountability amongst staff.</w:t>
      </w:r>
    </w:p>
    <w:p w14:paraId="65541DBF" w14:textId="77777777" w:rsidR="004D44A9" w:rsidRPr="00312C74"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p>
    <w:p w14:paraId="0D6F9B67" w14:textId="77777777" w:rsidR="00644E1A" w:rsidRDefault="004D44A9" w:rsidP="004D44A9">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The Municipal Systems Act (MSA), 2000</w:t>
      </w:r>
      <w:r w:rsidR="0046069A">
        <w:rPr>
          <w:sz w:val="18"/>
          <w:szCs w:val="20"/>
        </w:rPr>
        <w:t>,</w:t>
      </w:r>
      <w:r w:rsidRPr="00312C74">
        <w:rPr>
          <w:sz w:val="18"/>
          <w:szCs w:val="20"/>
        </w:rPr>
        <w:t xml:space="preserve"> requires municipalities to establish a performance management system. Further, the MSA and the Municipal Finance Management Act (MFMA) requires the Integrated Development Plan (IDP) to be aligned to the municipal budget and to be monitored for the performance of the budget against the IDP via the Service Delivery and the Budget Implementation Plan (SDBIP).</w:t>
      </w:r>
      <w:r w:rsidR="0046069A">
        <w:rPr>
          <w:sz w:val="18"/>
          <w:szCs w:val="20"/>
        </w:rPr>
        <w:t xml:space="preserve"> </w:t>
      </w:r>
    </w:p>
    <w:p w14:paraId="380D552B" w14:textId="77777777" w:rsidR="00644E1A" w:rsidRDefault="00644E1A" w:rsidP="004D44A9">
      <w:pPr>
        <w:pStyle w:val="Default"/>
        <w:pBdr>
          <w:top w:val="single" w:sz="4" w:space="1" w:color="auto"/>
          <w:left w:val="single" w:sz="4" w:space="4" w:color="auto"/>
          <w:bottom w:val="single" w:sz="4" w:space="1" w:color="auto"/>
          <w:right w:val="single" w:sz="4" w:space="4" w:color="auto"/>
        </w:pBdr>
        <w:jc w:val="both"/>
        <w:rPr>
          <w:sz w:val="18"/>
          <w:szCs w:val="20"/>
        </w:rPr>
      </w:pPr>
    </w:p>
    <w:p w14:paraId="670617CE" w14:textId="6926BAB7" w:rsidR="004D44A9" w:rsidRPr="00312C74" w:rsidRDefault="0046069A" w:rsidP="004D44A9">
      <w:pPr>
        <w:pStyle w:val="Default"/>
        <w:pBdr>
          <w:top w:val="single" w:sz="4" w:space="1" w:color="auto"/>
          <w:left w:val="single" w:sz="4" w:space="4" w:color="auto"/>
          <w:bottom w:val="single" w:sz="4" w:space="1" w:color="auto"/>
          <w:right w:val="single" w:sz="4" w:space="4" w:color="auto"/>
        </w:pBdr>
        <w:jc w:val="both"/>
        <w:rPr>
          <w:sz w:val="18"/>
          <w:szCs w:val="20"/>
        </w:rPr>
      </w:pPr>
      <w:r>
        <w:rPr>
          <w:sz w:val="18"/>
          <w:szCs w:val="20"/>
        </w:rPr>
        <w:t xml:space="preserve">Therefore after IDP public participation processes were done, the needs were prioritised and captured in the draft IDP document which was approved by Council. Strategic top level goals and targets were set for Council to report to the public quarterly. </w:t>
      </w:r>
      <w:r w:rsidR="00644E1A">
        <w:rPr>
          <w:sz w:val="18"/>
          <w:szCs w:val="20"/>
        </w:rPr>
        <w:t xml:space="preserve">These objectives and targets from the IDP aligned with the budget were then captured in the form of the Service Delivery and Budget Implementation Plan. </w:t>
      </w:r>
    </w:p>
    <w:p w14:paraId="6FCC177E" w14:textId="77777777" w:rsidR="004D44A9" w:rsidRPr="00312C74" w:rsidRDefault="004D44A9" w:rsidP="004D44A9">
      <w:pPr>
        <w:pBdr>
          <w:top w:val="single" w:sz="4" w:space="1" w:color="auto"/>
          <w:left w:val="single" w:sz="4" w:space="4" w:color="auto"/>
          <w:bottom w:val="single" w:sz="4" w:space="1" w:color="auto"/>
          <w:right w:val="single" w:sz="4" w:space="4" w:color="auto"/>
        </w:pBdr>
        <w:jc w:val="both"/>
        <w:rPr>
          <w:rFonts w:ascii="Arial" w:hAnsi="Arial" w:cs="Arial"/>
          <w:sz w:val="18"/>
        </w:rPr>
      </w:pPr>
    </w:p>
    <w:p w14:paraId="4EB0D134" w14:textId="77777777" w:rsidR="004D44A9" w:rsidRPr="00312C74" w:rsidRDefault="004D44A9" w:rsidP="004D44A9">
      <w:pPr>
        <w:rPr>
          <w:rFonts w:ascii="Arial" w:hAnsi="Arial" w:cs="Arial"/>
          <w:i/>
          <w:iCs/>
        </w:rPr>
      </w:pPr>
      <w:r w:rsidRPr="00312C74">
        <w:rPr>
          <w:rFonts w:ascii="Arial" w:hAnsi="Arial" w:cs="Arial"/>
          <w:i/>
          <w:iCs/>
        </w:rPr>
        <w:br w:type="page"/>
      </w:r>
    </w:p>
    <w:bookmarkStart w:id="6" w:name="_Toc180746326" w:displacedByCustomXml="next"/>
    <w:sdt>
      <w:sdtPr>
        <w:rPr>
          <w:rFonts w:asciiTheme="minorHAnsi" w:eastAsiaTheme="minorHAnsi" w:hAnsiTheme="minorHAnsi" w:cstheme="minorBidi"/>
          <w:color w:val="auto"/>
          <w:sz w:val="22"/>
          <w:szCs w:val="22"/>
        </w:rPr>
        <w:id w:val="787857060"/>
        <w:docPartObj>
          <w:docPartGallery w:val="Table of Contents"/>
          <w:docPartUnique/>
        </w:docPartObj>
      </w:sdtPr>
      <w:sdtEndPr>
        <w:rPr>
          <w:b/>
          <w:bCs/>
          <w:noProof/>
        </w:rPr>
      </w:sdtEndPr>
      <w:sdtContent>
        <w:p w14:paraId="4D223F6E" w14:textId="3811A1D9" w:rsidR="00857B75" w:rsidRDefault="00857B75" w:rsidP="0031371B">
          <w:pPr>
            <w:pStyle w:val="Heading1"/>
          </w:pPr>
          <w:r>
            <w:t>Table of Contents</w:t>
          </w:r>
          <w:bookmarkEnd w:id="6"/>
        </w:p>
        <w:p w14:paraId="525487F7" w14:textId="383EDBE6" w:rsidR="00510554" w:rsidRDefault="00857B75">
          <w:pPr>
            <w:pStyle w:val="TOC2"/>
            <w:tabs>
              <w:tab w:val="right" w:leader="dot" w:pos="9530"/>
            </w:tabs>
            <w:rPr>
              <w:rFonts w:eastAsiaTheme="minorEastAsia"/>
              <w:noProof/>
              <w:kern w:val="2"/>
              <w:sz w:val="24"/>
              <w:szCs w:val="24"/>
              <w:lang w:eastAsia="en-ZA"/>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80746323" w:history="1">
            <w:r w:rsidR="00510554" w:rsidRPr="0008183D">
              <w:rPr>
                <w:rStyle w:val="Hyperlink"/>
                <w:noProof/>
              </w:rPr>
              <w:t>ACCRONYMS AND ABBREVIATIONS</w:t>
            </w:r>
            <w:r w:rsidR="00510554">
              <w:rPr>
                <w:noProof/>
                <w:webHidden/>
              </w:rPr>
              <w:tab/>
            </w:r>
            <w:r w:rsidR="00510554">
              <w:rPr>
                <w:noProof/>
                <w:webHidden/>
              </w:rPr>
              <w:fldChar w:fldCharType="begin"/>
            </w:r>
            <w:r w:rsidR="00510554">
              <w:rPr>
                <w:noProof/>
                <w:webHidden/>
              </w:rPr>
              <w:instrText xml:space="preserve"> PAGEREF _Toc180746323 \h </w:instrText>
            </w:r>
            <w:r w:rsidR="00510554">
              <w:rPr>
                <w:noProof/>
                <w:webHidden/>
              </w:rPr>
            </w:r>
            <w:r w:rsidR="00510554">
              <w:rPr>
                <w:noProof/>
                <w:webHidden/>
              </w:rPr>
              <w:fldChar w:fldCharType="separate"/>
            </w:r>
            <w:r w:rsidR="00591643">
              <w:rPr>
                <w:noProof/>
                <w:webHidden/>
              </w:rPr>
              <w:t>2</w:t>
            </w:r>
            <w:r w:rsidR="00510554">
              <w:rPr>
                <w:noProof/>
                <w:webHidden/>
              </w:rPr>
              <w:fldChar w:fldCharType="end"/>
            </w:r>
          </w:hyperlink>
        </w:p>
        <w:p w14:paraId="0FF0EEA4" w14:textId="1BD11AF2" w:rsidR="00510554" w:rsidRDefault="00510554">
          <w:pPr>
            <w:pStyle w:val="TOC2"/>
            <w:tabs>
              <w:tab w:val="right" w:leader="dot" w:pos="9530"/>
            </w:tabs>
            <w:rPr>
              <w:rFonts w:eastAsiaTheme="minorEastAsia"/>
              <w:noProof/>
              <w:kern w:val="2"/>
              <w:sz w:val="24"/>
              <w:szCs w:val="24"/>
              <w:lang w:eastAsia="en-ZA"/>
              <w14:ligatures w14:val="standardContextual"/>
            </w:rPr>
          </w:pPr>
          <w:hyperlink w:anchor="_Toc180746324" w:history="1">
            <w:r w:rsidRPr="0008183D">
              <w:rPr>
                <w:rStyle w:val="Hyperlink"/>
                <w:noProof/>
              </w:rPr>
              <w:t>GRADING OF MUNICIPALITY</w:t>
            </w:r>
            <w:r>
              <w:rPr>
                <w:noProof/>
                <w:webHidden/>
              </w:rPr>
              <w:tab/>
            </w:r>
            <w:r>
              <w:rPr>
                <w:noProof/>
                <w:webHidden/>
              </w:rPr>
              <w:fldChar w:fldCharType="begin"/>
            </w:r>
            <w:r>
              <w:rPr>
                <w:noProof/>
                <w:webHidden/>
              </w:rPr>
              <w:instrText xml:space="preserve"> PAGEREF _Toc180746324 \h </w:instrText>
            </w:r>
            <w:r>
              <w:rPr>
                <w:noProof/>
                <w:webHidden/>
              </w:rPr>
            </w:r>
            <w:r>
              <w:rPr>
                <w:noProof/>
                <w:webHidden/>
              </w:rPr>
              <w:fldChar w:fldCharType="separate"/>
            </w:r>
            <w:r w:rsidR="00591643">
              <w:rPr>
                <w:noProof/>
                <w:webHidden/>
              </w:rPr>
              <w:t>3</w:t>
            </w:r>
            <w:r>
              <w:rPr>
                <w:noProof/>
                <w:webHidden/>
              </w:rPr>
              <w:fldChar w:fldCharType="end"/>
            </w:r>
          </w:hyperlink>
        </w:p>
        <w:p w14:paraId="28FFD03D" w14:textId="60561753" w:rsidR="00510554" w:rsidRDefault="00510554">
          <w:pPr>
            <w:pStyle w:val="TOC2"/>
            <w:tabs>
              <w:tab w:val="right" w:leader="dot" w:pos="9530"/>
            </w:tabs>
            <w:rPr>
              <w:rFonts w:eastAsiaTheme="minorEastAsia"/>
              <w:noProof/>
              <w:kern w:val="2"/>
              <w:sz w:val="24"/>
              <w:szCs w:val="24"/>
              <w:lang w:eastAsia="en-ZA"/>
              <w14:ligatures w14:val="standardContextual"/>
            </w:rPr>
          </w:pPr>
          <w:hyperlink w:anchor="_Toc180746325" w:history="1">
            <w:r w:rsidRPr="0008183D">
              <w:rPr>
                <w:rStyle w:val="Hyperlink"/>
                <w:noProof/>
              </w:rPr>
              <w:t>OVERVIEW OF PERFORMANCE WITHIN THE ORGANISATION</w:t>
            </w:r>
            <w:r>
              <w:rPr>
                <w:noProof/>
                <w:webHidden/>
              </w:rPr>
              <w:tab/>
            </w:r>
            <w:r>
              <w:rPr>
                <w:noProof/>
                <w:webHidden/>
              </w:rPr>
              <w:fldChar w:fldCharType="begin"/>
            </w:r>
            <w:r>
              <w:rPr>
                <w:noProof/>
                <w:webHidden/>
              </w:rPr>
              <w:instrText xml:space="preserve"> PAGEREF _Toc180746325 \h </w:instrText>
            </w:r>
            <w:r>
              <w:rPr>
                <w:noProof/>
                <w:webHidden/>
              </w:rPr>
            </w:r>
            <w:r>
              <w:rPr>
                <w:noProof/>
                <w:webHidden/>
              </w:rPr>
              <w:fldChar w:fldCharType="separate"/>
            </w:r>
            <w:r w:rsidR="00591643">
              <w:rPr>
                <w:noProof/>
                <w:webHidden/>
              </w:rPr>
              <w:t>3</w:t>
            </w:r>
            <w:r>
              <w:rPr>
                <w:noProof/>
                <w:webHidden/>
              </w:rPr>
              <w:fldChar w:fldCharType="end"/>
            </w:r>
          </w:hyperlink>
        </w:p>
        <w:p w14:paraId="78E472A6" w14:textId="0FCB75F3" w:rsidR="00510554" w:rsidRDefault="00510554">
          <w:pPr>
            <w:pStyle w:val="TOC1"/>
            <w:tabs>
              <w:tab w:val="right" w:leader="dot" w:pos="9530"/>
            </w:tabs>
            <w:rPr>
              <w:rFonts w:eastAsiaTheme="minorEastAsia"/>
              <w:noProof/>
              <w:kern w:val="2"/>
              <w:sz w:val="24"/>
              <w:szCs w:val="24"/>
              <w:lang w:eastAsia="en-ZA"/>
              <w14:ligatures w14:val="standardContextual"/>
            </w:rPr>
          </w:pPr>
          <w:hyperlink w:anchor="_Toc180746326" w:history="1">
            <w:r w:rsidRPr="0008183D">
              <w:rPr>
                <w:rStyle w:val="Hyperlink"/>
                <w:noProof/>
              </w:rPr>
              <w:t>Table of Contents</w:t>
            </w:r>
            <w:r>
              <w:rPr>
                <w:noProof/>
                <w:webHidden/>
              </w:rPr>
              <w:tab/>
            </w:r>
            <w:r>
              <w:rPr>
                <w:noProof/>
                <w:webHidden/>
              </w:rPr>
              <w:fldChar w:fldCharType="begin"/>
            </w:r>
            <w:r>
              <w:rPr>
                <w:noProof/>
                <w:webHidden/>
              </w:rPr>
              <w:instrText xml:space="preserve"> PAGEREF _Toc180746326 \h </w:instrText>
            </w:r>
            <w:r>
              <w:rPr>
                <w:noProof/>
                <w:webHidden/>
              </w:rPr>
            </w:r>
            <w:r>
              <w:rPr>
                <w:noProof/>
                <w:webHidden/>
              </w:rPr>
              <w:fldChar w:fldCharType="separate"/>
            </w:r>
            <w:r w:rsidR="00591643">
              <w:rPr>
                <w:noProof/>
                <w:webHidden/>
              </w:rPr>
              <w:t>4</w:t>
            </w:r>
            <w:r>
              <w:rPr>
                <w:noProof/>
                <w:webHidden/>
              </w:rPr>
              <w:fldChar w:fldCharType="end"/>
            </w:r>
          </w:hyperlink>
        </w:p>
        <w:p w14:paraId="6F0F36E0" w14:textId="2D5DE490" w:rsidR="00510554" w:rsidRDefault="00510554">
          <w:pPr>
            <w:pStyle w:val="TOC1"/>
            <w:tabs>
              <w:tab w:val="right" w:leader="dot" w:pos="9530"/>
            </w:tabs>
            <w:rPr>
              <w:rFonts w:eastAsiaTheme="minorEastAsia"/>
              <w:noProof/>
              <w:kern w:val="2"/>
              <w:sz w:val="24"/>
              <w:szCs w:val="24"/>
              <w:lang w:eastAsia="en-ZA"/>
              <w14:ligatures w14:val="standardContextual"/>
            </w:rPr>
          </w:pPr>
          <w:hyperlink w:anchor="_Toc180746327" w:history="1">
            <w:r w:rsidRPr="0008183D">
              <w:rPr>
                <w:rStyle w:val="Hyperlink"/>
                <w:noProof/>
              </w:rPr>
              <w:t>PART 1 : NON FINANCIAL PERFORMANCE INFORMATION</w:t>
            </w:r>
            <w:r>
              <w:rPr>
                <w:noProof/>
                <w:webHidden/>
              </w:rPr>
              <w:tab/>
            </w:r>
            <w:r>
              <w:rPr>
                <w:noProof/>
                <w:webHidden/>
              </w:rPr>
              <w:fldChar w:fldCharType="begin"/>
            </w:r>
            <w:r>
              <w:rPr>
                <w:noProof/>
                <w:webHidden/>
              </w:rPr>
              <w:instrText xml:space="preserve"> PAGEREF _Toc180746327 \h </w:instrText>
            </w:r>
            <w:r>
              <w:rPr>
                <w:noProof/>
                <w:webHidden/>
              </w:rPr>
            </w:r>
            <w:r>
              <w:rPr>
                <w:noProof/>
                <w:webHidden/>
              </w:rPr>
              <w:fldChar w:fldCharType="separate"/>
            </w:r>
            <w:r w:rsidR="00591643">
              <w:rPr>
                <w:noProof/>
                <w:webHidden/>
              </w:rPr>
              <w:t>5</w:t>
            </w:r>
            <w:r>
              <w:rPr>
                <w:noProof/>
                <w:webHidden/>
              </w:rPr>
              <w:fldChar w:fldCharType="end"/>
            </w:r>
          </w:hyperlink>
        </w:p>
        <w:p w14:paraId="35B910DC" w14:textId="1CD83C28" w:rsidR="00510554" w:rsidRDefault="00510554">
          <w:pPr>
            <w:pStyle w:val="TOC2"/>
            <w:tabs>
              <w:tab w:val="left" w:pos="720"/>
              <w:tab w:val="right" w:leader="dot" w:pos="9530"/>
            </w:tabs>
            <w:rPr>
              <w:rFonts w:eastAsiaTheme="minorEastAsia"/>
              <w:noProof/>
              <w:kern w:val="2"/>
              <w:sz w:val="24"/>
              <w:szCs w:val="24"/>
              <w:lang w:eastAsia="en-ZA"/>
              <w14:ligatures w14:val="standardContextual"/>
            </w:rPr>
          </w:pPr>
          <w:hyperlink w:anchor="_Toc180746328" w:history="1">
            <w:r w:rsidRPr="0008183D">
              <w:rPr>
                <w:rStyle w:val="Hyperlink"/>
                <w:noProof/>
              </w:rPr>
              <w:t>1.</w:t>
            </w:r>
            <w:r>
              <w:rPr>
                <w:rFonts w:eastAsiaTheme="minorEastAsia"/>
                <w:noProof/>
                <w:kern w:val="2"/>
                <w:sz w:val="24"/>
                <w:szCs w:val="24"/>
                <w:lang w:eastAsia="en-ZA"/>
                <w14:ligatures w14:val="standardContextual"/>
              </w:rPr>
              <w:tab/>
            </w:r>
            <w:r w:rsidRPr="0008183D">
              <w:rPr>
                <w:rStyle w:val="Hyperlink"/>
                <w:noProof/>
              </w:rPr>
              <w:t>INTRODUCTION</w:t>
            </w:r>
            <w:r>
              <w:rPr>
                <w:noProof/>
                <w:webHidden/>
              </w:rPr>
              <w:tab/>
            </w:r>
            <w:r>
              <w:rPr>
                <w:noProof/>
                <w:webHidden/>
              </w:rPr>
              <w:fldChar w:fldCharType="begin"/>
            </w:r>
            <w:r>
              <w:rPr>
                <w:noProof/>
                <w:webHidden/>
              </w:rPr>
              <w:instrText xml:space="preserve"> PAGEREF _Toc180746328 \h </w:instrText>
            </w:r>
            <w:r>
              <w:rPr>
                <w:noProof/>
                <w:webHidden/>
              </w:rPr>
            </w:r>
            <w:r>
              <w:rPr>
                <w:noProof/>
                <w:webHidden/>
              </w:rPr>
              <w:fldChar w:fldCharType="separate"/>
            </w:r>
            <w:r w:rsidR="00591643">
              <w:rPr>
                <w:noProof/>
                <w:webHidden/>
              </w:rPr>
              <w:t>5</w:t>
            </w:r>
            <w:r>
              <w:rPr>
                <w:noProof/>
                <w:webHidden/>
              </w:rPr>
              <w:fldChar w:fldCharType="end"/>
            </w:r>
          </w:hyperlink>
        </w:p>
        <w:p w14:paraId="17C8878A" w14:textId="4665183E" w:rsidR="00510554" w:rsidRDefault="00510554">
          <w:pPr>
            <w:pStyle w:val="TOC2"/>
            <w:tabs>
              <w:tab w:val="left" w:pos="720"/>
              <w:tab w:val="right" w:leader="dot" w:pos="9530"/>
            </w:tabs>
            <w:rPr>
              <w:rFonts w:eastAsiaTheme="minorEastAsia"/>
              <w:noProof/>
              <w:kern w:val="2"/>
              <w:sz w:val="24"/>
              <w:szCs w:val="24"/>
              <w:lang w:eastAsia="en-ZA"/>
              <w14:ligatures w14:val="standardContextual"/>
            </w:rPr>
          </w:pPr>
          <w:hyperlink w:anchor="_Toc180746329" w:history="1">
            <w:r w:rsidRPr="0008183D">
              <w:rPr>
                <w:rStyle w:val="Hyperlink"/>
                <w:noProof/>
              </w:rPr>
              <w:t>2.</w:t>
            </w:r>
            <w:r>
              <w:rPr>
                <w:rFonts w:eastAsiaTheme="minorEastAsia"/>
                <w:noProof/>
                <w:kern w:val="2"/>
                <w:sz w:val="24"/>
                <w:szCs w:val="24"/>
                <w:lang w:eastAsia="en-ZA"/>
                <w14:ligatures w14:val="standardContextual"/>
              </w:rPr>
              <w:tab/>
            </w:r>
            <w:r w:rsidRPr="0008183D">
              <w:rPr>
                <w:rStyle w:val="Hyperlink"/>
                <w:noProof/>
              </w:rPr>
              <w:t>PURPOSE</w:t>
            </w:r>
            <w:r>
              <w:rPr>
                <w:noProof/>
                <w:webHidden/>
              </w:rPr>
              <w:tab/>
            </w:r>
            <w:r>
              <w:rPr>
                <w:noProof/>
                <w:webHidden/>
              </w:rPr>
              <w:fldChar w:fldCharType="begin"/>
            </w:r>
            <w:r>
              <w:rPr>
                <w:noProof/>
                <w:webHidden/>
              </w:rPr>
              <w:instrText xml:space="preserve"> PAGEREF _Toc180746329 \h </w:instrText>
            </w:r>
            <w:r>
              <w:rPr>
                <w:noProof/>
                <w:webHidden/>
              </w:rPr>
            </w:r>
            <w:r>
              <w:rPr>
                <w:noProof/>
                <w:webHidden/>
              </w:rPr>
              <w:fldChar w:fldCharType="separate"/>
            </w:r>
            <w:r w:rsidR="00591643">
              <w:rPr>
                <w:noProof/>
                <w:webHidden/>
              </w:rPr>
              <w:t>8</w:t>
            </w:r>
            <w:r>
              <w:rPr>
                <w:noProof/>
                <w:webHidden/>
              </w:rPr>
              <w:fldChar w:fldCharType="end"/>
            </w:r>
          </w:hyperlink>
        </w:p>
        <w:p w14:paraId="030474C8" w14:textId="2EBACF09" w:rsidR="00510554" w:rsidRDefault="008B4BEC">
          <w:pPr>
            <w:pStyle w:val="TOC3"/>
            <w:tabs>
              <w:tab w:val="right" w:leader="dot" w:pos="9530"/>
            </w:tabs>
            <w:rPr>
              <w:rFonts w:eastAsiaTheme="minorEastAsia"/>
              <w:noProof/>
              <w:kern w:val="2"/>
              <w:sz w:val="24"/>
              <w:szCs w:val="24"/>
              <w:lang w:eastAsia="en-ZA"/>
              <w14:ligatures w14:val="standardContextual"/>
            </w:rPr>
          </w:pPr>
          <w:r>
            <w:t xml:space="preserve">      </w:t>
          </w:r>
          <w:hyperlink w:anchor="_Toc180746330" w:history="1">
            <w:r w:rsidR="00510554" w:rsidRPr="0008183D">
              <w:rPr>
                <w:rStyle w:val="Hyperlink"/>
                <w:noProof/>
              </w:rPr>
              <w:t>FINANCIAL/BUDGET PERFORMANCE</w:t>
            </w:r>
            <w:r w:rsidR="00510554">
              <w:rPr>
                <w:noProof/>
                <w:webHidden/>
              </w:rPr>
              <w:tab/>
            </w:r>
            <w:r w:rsidR="00510554">
              <w:rPr>
                <w:noProof/>
                <w:webHidden/>
              </w:rPr>
              <w:fldChar w:fldCharType="begin"/>
            </w:r>
            <w:r w:rsidR="00510554">
              <w:rPr>
                <w:noProof/>
                <w:webHidden/>
              </w:rPr>
              <w:instrText xml:space="preserve"> PAGEREF _Toc180746330 \h </w:instrText>
            </w:r>
            <w:r w:rsidR="00510554">
              <w:rPr>
                <w:noProof/>
                <w:webHidden/>
              </w:rPr>
            </w:r>
            <w:r w:rsidR="00510554">
              <w:rPr>
                <w:noProof/>
                <w:webHidden/>
              </w:rPr>
              <w:fldChar w:fldCharType="separate"/>
            </w:r>
            <w:r w:rsidR="00591643">
              <w:rPr>
                <w:noProof/>
                <w:webHidden/>
              </w:rPr>
              <w:t>8</w:t>
            </w:r>
            <w:r w:rsidR="00510554">
              <w:rPr>
                <w:noProof/>
                <w:webHidden/>
              </w:rPr>
              <w:fldChar w:fldCharType="end"/>
            </w:r>
          </w:hyperlink>
        </w:p>
        <w:p w14:paraId="5D00C03F" w14:textId="6B2AA60F" w:rsidR="00510554" w:rsidRDefault="00510554">
          <w:pPr>
            <w:pStyle w:val="TOC2"/>
            <w:tabs>
              <w:tab w:val="left" w:pos="720"/>
              <w:tab w:val="right" w:leader="dot" w:pos="9530"/>
            </w:tabs>
            <w:rPr>
              <w:rFonts w:eastAsiaTheme="minorEastAsia"/>
              <w:noProof/>
              <w:kern w:val="2"/>
              <w:sz w:val="24"/>
              <w:szCs w:val="24"/>
              <w:lang w:eastAsia="en-ZA"/>
              <w14:ligatures w14:val="standardContextual"/>
            </w:rPr>
          </w:pPr>
          <w:hyperlink w:anchor="_Toc180746331" w:history="1">
            <w:r w:rsidRPr="0008183D">
              <w:rPr>
                <w:rStyle w:val="Hyperlink"/>
                <w:noProof/>
              </w:rPr>
              <w:t>3.</w:t>
            </w:r>
            <w:r>
              <w:rPr>
                <w:rFonts w:eastAsiaTheme="minorEastAsia"/>
                <w:noProof/>
                <w:kern w:val="2"/>
                <w:sz w:val="24"/>
                <w:szCs w:val="24"/>
                <w:lang w:eastAsia="en-ZA"/>
                <w14:ligatures w14:val="standardContextual"/>
              </w:rPr>
              <w:tab/>
            </w:r>
            <w:r w:rsidRPr="0008183D">
              <w:rPr>
                <w:rStyle w:val="Hyperlink"/>
                <w:noProof/>
              </w:rPr>
              <w:t>LEGISLATIVE REQUIREMENTS</w:t>
            </w:r>
            <w:r>
              <w:rPr>
                <w:noProof/>
                <w:webHidden/>
              </w:rPr>
              <w:tab/>
            </w:r>
            <w:r>
              <w:rPr>
                <w:noProof/>
                <w:webHidden/>
              </w:rPr>
              <w:fldChar w:fldCharType="begin"/>
            </w:r>
            <w:r>
              <w:rPr>
                <w:noProof/>
                <w:webHidden/>
              </w:rPr>
              <w:instrText xml:space="preserve"> PAGEREF _Toc180746331 \h </w:instrText>
            </w:r>
            <w:r>
              <w:rPr>
                <w:noProof/>
                <w:webHidden/>
              </w:rPr>
            </w:r>
            <w:r>
              <w:rPr>
                <w:noProof/>
                <w:webHidden/>
              </w:rPr>
              <w:fldChar w:fldCharType="separate"/>
            </w:r>
            <w:r w:rsidR="00591643">
              <w:rPr>
                <w:noProof/>
                <w:webHidden/>
              </w:rPr>
              <w:t>8</w:t>
            </w:r>
            <w:r>
              <w:rPr>
                <w:noProof/>
                <w:webHidden/>
              </w:rPr>
              <w:fldChar w:fldCharType="end"/>
            </w:r>
          </w:hyperlink>
        </w:p>
        <w:p w14:paraId="00DC1572" w14:textId="2CC6A06B" w:rsidR="00510554" w:rsidRDefault="00510554">
          <w:pPr>
            <w:pStyle w:val="TOC2"/>
            <w:tabs>
              <w:tab w:val="left" w:pos="720"/>
              <w:tab w:val="right" w:leader="dot" w:pos="9530"/>
            </w:tabs>
            <w:rPr>
              <w:rFonts w:eastAsiaTheme="minorEastAsia"/>
              <w:noProof/>
              <w:kern w:val="2"/>
              <w:sz w:val="24"/>
              <w:szCs w:val="24"/>
              <w:lang w:eastAsia="en-ZA"/>
              <w14:ligatures w14:val="standardContextual"/>
            </w:rPr>
          </w:pPr>
          <w:hyperlink w:anchor="_Toc180746332" w:history="1">
            <w:r w:rsidRPr="0008183D">
              <w:rPr>
                <w:rStyle w:val="Hyperlink"/>
                <w:noProof/>
              </w:rPr>
              <w:t>4.</w:t>
            </w:r>
            <w:r>
              <w:rPr>
                <w:rFonts w:eastAsiaTheme="minorEastAsia"/>
                <w:noProof/>
                <w:kern w:val="2"/>
                <w:sz w:val="24"/>
                <w:szCs w:val="24"/>
                <w:lang w:eastAsia="en-ZA"/>
                <w14:ligatures w14:val="standardContextual"/>
              </w:rPr>
              <w:tab/>
            </w:r>
            <w:r w:rsidRPr="0008183D">
              <w:rPr>
                <w:rStyle w:val="Hyperlink"/>
                <w:noProof/>
              </w:rPr>
              <w:t>BACKGROUND TO THE FORMAT AND MONITORING OF THE SDBIP</w:t>
            </w:r>
            <w:r>
              <w:rPr>
                <w:noProof/>
                <w:webHidden/>
              </w:rPr>
              <w:tab/>
            </w:r>
            <w:r>
              <w:rPr>
                <w:noProof/>
                <w:webHidden/>
              </w:rPr>
              <w:fldChar w:fldCharType="begin"/>
            </w:r>
            <w:r>
              <w:rPr>
                <w:noProof/>
                <w:webHidden/>
              </w:rPr>
              <w:instrText xml:space="preserve"> PAGEREF _Toc180746332 \h </w:instrText>
            </w:r>
            <w:r>
              <w:rPr>
                <w:noProof/>
                <w:webHidden/>
              </w:rPr>
            </w:r>
            <w:r>
              <w:rPr>
                <w:noProof/>
                <w:webHidden/>
              </w:rPr>
              <w:fldChar w:fldCharType="separate"/>
            </w:r>
            <w:r w:rsidR="00591643">
              <w:rPr>
                <w:noProof/>
                <w:webHidden/>
              </w:rPr>
              <w:t>10</w:t>
            </w:r>
            <w:r>
              <w:rPr>
                <w:noProof/>
                <w:webHidden/>
              </w:rPr>
              <w:fldChar w:fldCharType="end"/>
            </w:r>
          </w:hyperlink>
        </w:p>
        <w:p w14:paraId="162F77C1" w14:textId="0246FF6C" w:rsidR="00510554" w:rsidRDefault="008B4BEC">
          <w:pPr>
            <w:pStyle w:val="TOC3"/>
            <w:tabs>
              <w:tab w:val="right" w:leader="dot" w:pos="9530"/>
            </w:tabs>
            <w:rPr>
              <w:rFonts w:eastAsiaTheme="minorEastAsia"/>
              <w:noProof/>
              <w:kern w:val="2"/>
              <w:sz w:val="24"/>
              <w:szCs w:val="24"/>
              <w:lang w:eastAsia="en-ZA"/>
              <w14:ligatures w14:val="standardContextual"/>
            </w:rPr>
          </w:pPr>
          <w:r>
            <w:t xml:space="preserve">      </w:t>
          </w:r>
          <w:hyperlink w:anchor="_Toc180746333" w:history="1">
            <w:r w:rsidR="00510554" w:rsidRPr="0008183D">
              <w:rPr>
                <w:rStyle w:val="Hyperlink"/>
                <w:noProof/>
                <w:lang w:eastAsia="en-ZA"/>
              </w:rPr>
              <w:t>FORMAT</w:t>
            </w:r>
            <w:r w:rsidR="00510554">
              <w:rPr>
                <w:noProof/>
                <w:webHidden/>
              </w:rPr>
              <w:tab/>
            </w:r>
            <w:r w:rsidR="00510554">
              <w:rPr>
                <w:noProof/>
                <w:webHidden/>
              </w:rPr>
              <w:fldChar w:fldCharType="begin"/>
            </w:r>
            <w:r w:rsidR="00510554">
              <w:rPr>
                <w:noProof/>
                <w:webHidden/>
              </w:rPr>
              <w:instrText xml:space="preserve"> PAGEREF _Toc180746333 \h </w:instrText>
            </w:r>
            <w:r w:rsidR="00510554">
              <w:rPr>
                <w:noProof/>
                <w:webHidden/>
              </w:rPr>
            </w:r>
            <w:r w:rsidR="00510554">
              <w:rPr>
                <w:noProof/>
                <w:webHidden/>
              </w:rPr>
              <w:fldChar w:fldCharType="separate"/>
            </w:r>
            <w:r w:rsidR="00591643">
              <w:rPr>
                <w:noProof/>
                <w:webHidden/>
              </w:rPr>
              <w:t>10</w:t>
            </w:r>
            <w:r w:rsidR="00510554">
              <w:rPr>
                <w:noProof/>
                <w:webHidden/>
              </w:rPr>
              <w:fldChar w:fldCharType="end"/>
            </w:r>
          </w:hyperlink>
        </w:p>
        <w:p w14:paraId="3611E994" w14:textId="45B2178D" w:rsidR="00510554" w:rsidRDefault="008B4BEC">
          <w:pPr>
            <w:pStyle w:val="TOC3"/>
            <w:tabs>
              <w:tab w:val="right" w:leader="dot" w:pos="9530"/>
            </w:tabs>
            <w:rPr>
              <w:rFonts w:eastAsiaTheme="minorEastAsia"/>
              <w:noProof/>
              <w:kern w:val="2"/>
              <w:sz w:val="24"/>
              <w:szCs w:val="24"/>
              <w:lang w:eastAsia="en-ZA"/>
              <w14:ligatures w14:val="standardContextual"/>
            </w:rPr>
          </w:pPr>
          <w:r>
            <w:t xml:space="preserve">      </w:t>
          </w:r>
          <w:hyperlink w:anchor="_Toc180746334" w:history="1">
            <w:r w:rsidR="00510554" w:rsidRPr="0008183D">
              <w:rPr>
                <w:rStyle w:val="Hyperlink"/>
                <w:noProof/>
              </w:rPr>
              <w:t>MONITORING</w:t>
            </w:r>
            <w:r w:rsidR="00510554">
              <w:rPr>
                <w:noProof/>
                <w:webHidden/>
              </w:rPr>
              <w:tab/>
            </w:r>
            <w:r w:rsidR="00510554">
              <w:rPr>
                <w:noProof/>
                <w:webHidden/>
              </w:rPr>
              <w:fldChar w:fldCharType="begin"/>
            </w:r>
            <w:r w:rsidR="00510554">
              <w:rPr>
                <w:noProof/>
                <w:webHidden/>
              </w:rPr>
              <w:instrText xml:space="preserve"> PAGEREF _Toc180746334 \h </w:instrText>
            </w:r>
            <w:r w:rsidR="00510554">
              <w:rPr>
                <w:noProof/>
                <w:webHidden/>
              </w:rPr>
            </w:r>
            <w:r w:rsidR="00510554">
              <w:rPr>
                <w:noProof/>
                <w:webHidden/>
              </w:rPr>
              <w:fldChar w:fldCharType="separate"/>
            </w:r>
            <w:r w:rsidR="00591643">
              <w:rPr>
                <w:noProof/>
                <w:webHidden/>
              </w:rPr>
              <w:t>10</w:t>
            </w:r>
            <w:r w:rsidR="00510554">
              <w:rPr>
                <w:noProof/>
                <w:webHidden/>
              </w:rPr>
              <w:fldChar w:fldCharType="end"/>
            </w:r>
          </w:hyperlink>
        </w:p>
        <w:p w14:paraId="683A9629" w14:textId="6931BA2D" w:rsidR="00510554" w:rsidRDefault="00510554">
          <w:pPr>
            <w:pStyle w:val="TOC2"/>
            <w:tabs>
              <w:tab w:val="left" w:pos="720"/>
              <w:tab w:val="right" w:leader="dot" w:pos="9530"/>
            </w:tabs>
            <w:rPr>
              <w:rFonts w:eastAsiaTheme="minorEastAsia"/>
              <w:noProof/>
              <w:kern w:val="2"/>
              <w:sz w:val="24"/>
              <w:szCs w:val="24"/>
              <w:lang w:eastAsia="en-ZA"/>
              <w14:ligatures w14:val="standardContextual"/>
            </w:rPr>
          </w:pPr>
          <w:hyperlink w:anchor="_Toc180746335" w:history="1">
            <w:r w:rsidRPr="0008183D">
              <w:rPr>
                <w:rStyle w:val="Hyperlink"/>
                <w:noProof/>
              </w:rPr>
              <w:t>5.</w:t>
            </w:r>
            <w:r>
              <w:rPr>
                <w:rFonts w:eastAsiaTheme="minorEastAsia"/>
                <w:noProof/>
                <w:kern w:val="2"/>
                <w:sz w:val="24"/>
                <w:szCs w:val="24"/>
                <w:lang w:eastAsia="en-ZA"/>
                <w14:ligatures w14:val="standardContextual"/>
              </w:rPr>
              <w:tab/>
            </w:r>
            <w:r w:rsidRPr="0008183D">
              <w:rPr>
                <w:rStyle w:val="Hyperlink"/>
                <w:noProof/>
              </w:rPr>
              <w:t>CONSOLIDATED PERFORMANCE OF THE MUNICIPALITY IN IMPLEMENTING THE SDBIP</w:t>
            </w:r>
            <w:r>
              <w:rPr>
                <w:noProof/>
                <w:webHidden/>
              </w:rPr>
              <w:tab/>
            </w:r>
            <w:r>
              <w:rPr>
                <w:noProof/>
                <w:webHidden/>
              </w:rPr>
              <w:fldChar w:fldCharType="begin"/>
            </w:r>
            <w:r>
              <w:rPr>
                <w:noProof/>
                <w:webHidden/>
              </w:rPr>
              <w:instrText xml:space="preserve"> PAGEREF _Toc180746335 \h </w:instrText>
            </w:r>
            <w:r>
              <w:rPr>
                <w:noProof/>
                <w:webHidden/>
              </w:rPr>
            </w:r>
            <w:r>
              <w:rPr>
                <w:noProof/>
                <w:webHidden/>
              </w:rPr>
              <w:fldChar w:fldCharType="separate"/>
            </w:r>
            <w:r w:rsidR="00591643">
              <w:rPr>
                <w:noProof/>
                <w:webHidden/>
              </w:rPr>
              <w:t>12</w:t>
            </w:r>
            <w:r>
              <w:rPr>
                <w:noProof/>
                <w:webHidden/>
              </w:rPr>
              <w:fldChar w:fldCharType="end"/>
            </w:r>
          </w:hyperlink>
        </w:p>
        <w:p w14:paraId="2A9F9EAD" w14:textId="7E384704" w:rsidR="00510554" w:rsidRDefault="008B4BEC">
          <w:pPr>
            <w:pStyle w:val="TOC3"/>
            <w:tabs>
              <w:tab w:val="right" w:leader="dot" w:pos="9530"/>
            </w:tabs>
            <w:rPr>
              <w:rFonts w:eastAsiaTheme="minorEastAsia"/>
              <w:noProof/>
              <w:kern w:val="2"/>
              <w:sz w:val="24"/>
              <w:szCs w:val="24"/>
              <w:lang w:eastAsia="en-ZA"/>
              <w14:ligatures w14:val="standardContextual"/>
            </w:rPr>
          </w:pPr>
          <w:r>
            <w:t xml:space="preserve">      </w:t>
          </w:r>
          <w:hyperlink w:anchor="_Toc180746336" w:history="1">
            <w:r w:rsidR="00510554" w:rsidRPr="0008183D">
              <w:rPr>
                <w:rStyle w:val="Hyperlink"/>
                <w:noProof/>
              </w:rPr>
              <w:t>ACTUAL PERFORMANCE FOR THE FIRST QUARTER 01 JULY 2024  – 30 SEPTEMBER 2024</w:t>
            </w:r>
            <w:r w:rsidR="00510554">
              <w:rPr>
                <w:noProof/>
                <w:webHidden/>
              </w:rPr>
              <w:tab/>
            </w:r>
            <w:r w:rsidR="00510554">
              <w:rPr>
                <w:noProof/>
                <w:webHidden/>
              </w:rPr>
              <w:fldChar w:fldCharType="begin"/>
            </w:r>
            <w:r w:rsidR="00510554">
              <w:rPr>
                <w:noProof/>
                <w:webHidden/>
              </w:rPr>
              <w:instrText xml:space="preserve"> PAGEREF _Toc180746336 \h </w:instrText>
            </w:r>
            <w:r w:rsidR="00510554">
              <w:rPr>
                <w:noProof/>
                <w:webHidden/>
              </w:rPr>
            </w:r>
            <w:r w:rsidR="00510554">
              <w:rPr>
                <w:noProof/>
                <w:webHidden/>
              </w:rPr>
              <w:fldChar w:fldCharType="separate"/>
            </w:r>
            <w:r w:rsidR="00591643">
              <w:rPr>
                <w:noProof/>
                <w:webHidden/>
              </w:rPr>
              <w:t>12</w:t>
            </w:r>
            <w:r w:rsidR="00510554">
              <w:rPr>
                <w:noProof/>
                <w:webHidden/>
              </w:rPr>
              <w:fldChar w:fldCharType="end"/>
            </w:r>
          </w:hyperlink>
        </w:p>
        <w:p w14:paraId="48972F62" w14:textId="598A6553" w:rsidR="00510554" w:rsidRDefault="008B4BEC">
          <w:pPr>
            <w:pStyle w:val="TOC3"/>
            <w:tabs>
              <w:tab w:val="right" w:leader="dot" w:pos="9530"/>
            </w:tabs>
            <w:rPr>
              <w:rFonts w:eastAsiaTheme="minorEastAsia"/>
              <w:noProof/>
              <w:kern w:val="2"/>
              <w:sz w:val="24"/>
              <w:szCs w:val="24"/>
              <w:lang w:eastAsia="en-ZA"/>
              <w14:ligatures w14:val="standardContextual"/>
            </w:rPr>
          </w:pPr>
          <w:r>
            <w:t xml:space="preserve">      </w:t>
          </w:r>
          <w:hyperlink w:anchor="_Toc180746337" w:history="1">
            <w:r w:rsidR="00510554" w:rsidRPr="0008183D">
              <w:rPr>
                <w:rStyle w:val="Hyperlink"/>
                <w:noProof/>
              </w:rPr>
              <w:t>OVERALL PERFORMANCE OF THE MUNICIPALITY</w:t>
            </w:r>
            <w:r w:rsidR="00510554">
              <w:rPr>
                <w:noProof/>
                <w:webHidden/>
              </w:rPr>
              <w:tab/>
            </w:r>
            <w:r w:rsidR="00510554">
              <w:rPr>
                <w:noProof/>
                <w:webHidden/>
              </w:rPr>
              <w:fldChar w:fldCharType="begin"/>
            </w:r>
            <w:r w:rsidR="00510554">
              <w:rPr>
                <w:noProof/>
                <w:webHidden/>
              </w:rPr>
              <w:instrText xml:space="preserve"> PAGEREF _Toc180746337 \h </w:instrText>
            </w:r>
            <w:r w:rsidR="00510554">
              <w:rPr>
                <w:noProof/>
                <w:webHidden/>
              </w:rPr>
            </w:r>
            <w:r w:rsidR="00510554">
              <w:rPr>
                <w:noProof/>
                <w:webHidden/>
              </w:rPr>
              <w:fldChar w:fldCharType="separate"/>
            </w:r>
            <w:r w:rsidR="00591643">
              <w:rPr>
                <w:noProof/>
                <w:webHidden/>
              </w:rPr>
              <w:t>12</w:t>
            </w:r>
            <w:r w:rsidR="00510554">
              <w:rPr>
                <w:noProof/>
                <w:webHidden/>
              </w:rPr>
              <w:fldChar w:fldCharType="end"/>
            </w:r>
          </w:hyperlink>
        </w:p>
        <w:p w14:paraId="6B01A8F4" w14:textId="69C0E479" w:rsidR="00510554" w:rsidRDefault="00510554">
          <w:pPr>
            <w:pStyle w:val="TOC1"/>
            <w:tabs>
              <w:tab w:val="right" w:leader="dot" w:pos="9530"/>
            </w:tabs>
            <w:rPr>
              <w:rFonts w:eastAsiaTheme="minorEastAsia"/>
              <w:noProof/>
              <w:kern w:val="2"/>
              <w:sz w:val="24"/>
              <w:szCs w:val="24"/>
              <w:lang w:eastAsia="en-ZA"/>
              <w14:ligatures w14:val="standardContextual"/>
            </w:rPr>
          </w:pPr>
          <w:hyperlink w:anchor="_Toc180746338" w:history="1">
            <w:r w:rsidRPr="0008183D">
              <w:rPr>
                <w:rStyle w:val="Hyperlink"/>
                <w:noProof/>
              </w:rPr>
              <w:t>CONCLUSION</w:t>
            </w:r>
            <w:r>
              <w:rPr>
                <w:noProof/>
                <w:webHidden/>
              </w:rPr>
              <w:tab/>
            </w:r>
            <w:r>
              <w:rPr>
                <w:noProof/>
                <w:webHidden/>
              </w:rPr>
              <w:fldChar w:fldCharType="begin"/>
            </w:r>
            <w:r>
              <w:rPr>
                <w:noProof/>
                <w:webHidden/>
              </w:rPr>
              <w:instrText xml:space="preserve"> PAGEREF _Toc180746338 \h </w:instrText>
            </w:r>
            <w:r>
              <w:rPr>
                <w:noProof/>
                <w:webHidden/>
              </w:rPr>
            </w:r>
            <w:r>
              <w:rPr>
                <w:noProof/>
                <w:webHidden/>
              </w:rPr>
              <w:fldChar w:fldCharType="separate"/>
            </w:r>
            <w:r w:rsidR="00591643">
              <w:rPr>
                <w:noProof/>
                <w:webHidden/>
              </w:rPr>
              <w:t>13</w:t>
            </w:r>
            <w:r>
              <w:rPr>
                <w:noProof/>
                <w:webHidden/>
              </w:rPr>
              <w:fldChar w:fldCharType="end"/>
            </w:r>
          </w:hyperlink>
        </w:p>
        <w:p w14:paraId="35E83B93" w14:textId="39BB7720" w:rsidR="00857B75" w:rsidRDefault="00857B75">
          <w:r>
            <w:rPr>
              <w:b/>
              <w:bCs/>
              <w:noProof/>
            </w:rPr>
            <w:fldChar w:fldCharType="end"/>
          </w:r>
        </w:p>
      </w:sdtContent>
    </w:sdt>
    <w:p w14:paraId="25457CA9" w14:textId="08F442A3" w:rsidR="00857B75" w:rsidRDefault="00857B75">
      <w:pPr>
        <w:rPr>
          <w:rFonts w:ascii="Arial" w:hAnsi="Arial" w:cs="Arial"/>
          <w:sz w:val="4"/>
        </w:rPr>
      </w:pPr>
      <w:r>
        <w:rPr>
          <w:rFonts w:ascii="Arial" w:hAnsi="Arial" w:cs="Arial"/>
          <w:sz w:val="4"/>
        </w:rPr>
        <w:br w:type="page"/>
      </w:r>
    </w:p>
    <w:p w14:paraId="1DAD1419" w14:textId="77777777" w:rsidR="00F87279" w:rsidRPr="00312C74" w:rsidRDefault="00F87279">
      <w:pPr>
        <w:rPr>
          <w:rFonts w:ascii="Arial" w:hAnsi="Arial" w:cs="Arial"/>
          <w:sz w:val="4"/>
        </w:rPr>
      </w:pPr>
    </w:p>
    <w:p w14:paraId="113C9CD2" w14:textId="41085C44" w:rsidR="00F87279" w:rsidRPr="00312C74" w:rsidRDefault="00F87279" w:rsidP="0031371B">
      <w:pPr>
        <w:pStyle w:val="Heading1"/>
      </w:pPr>
      <w:bookmarkStart w:id="7" w:name="_Toc180746327"/>
      <w:r w:rsidRPr="00312C74">
        <w:t>PART 1 : NON FINANCIAL PERFORMANCE INFORMATION</w:t>
      </w:r>
      <w:bookmarkEnd w:id="7"/>
    </w:p>
    <w:p w14:paraId="42DDED05" w14:textId="266E3CAA" w:rsidR="00F87279" w:rsidRPr="00312C74" w:rsidRDefault="00123E1E" w:rsidP="0031371B">
      <w:pPr>
        <w:pStyle w:val="Heading2"/>
        <w:numPr>
          <w:ilvl w:val="0"/>
          <w:numId w:val="34"/>
        </w:numPr>
        <w:ind w:hanging="810"/>
      </w:pPr>
      <w:bookmarkStart w:id="8" w:name="_Toc180746328"/>
      <w:r w:rsidRPr="00312C74">
        <w:t>INTRODUCTION</w:t>
      </w:r>
      <w:bookmarkEnd w:id="8"/>
    </w:p>
    <w:p w14:paraId="4DD4D6D2" w14:textId="77777777" w:rsidR="005C668B" w:rsidRDefault="005C668B" w:rsidP="004D44A9">
      <w:pPr>
        <w:jc w:val="both"/>
        <w:rPr>
          <w:rFonts w:ascii="Arial" w:hAnsi="Arial" w:cs="Arial"/>
        </w:rPr>
      </w:pPr>
    </w:p>
    <w:p w14:paraId="0E4CAB0A" w14:textId="77777777" w:rsidR="00644E1A" w:rsidRDefault="004D44A9" w:rsidP="004D44A9">
      <w:pPr>
        <w:jc w:val="both"/>
        <w:rPr>
          <w:rFonts w:ascii="Arial" w:hAnsi="Arial" w:cs="Arial"/>
        </w:rPr>
      </w:pPr>
      <w:r w:rsidRPr="00312C74">
        <w:rPr>
          <w:rFonts w:ascii="Arial" w:hAnsi="Arial" w:cs="Arial"/>
        </w:rPr>
        <w:t>Perform</w:t>
      </w:r>
      <w:r w:rsidR="00644E1A">
        <w:rPr>
          <w:rFonts w:ascii="Arial" w:hAnsi="Arial" w:cs="Arial"/>
        </w:rPr>
        <w:t>ance management is prescribed in</w:t>
      </w:r>
      <w:r w:rsidRPr="00312C74">
        <w:rPr>
          <w:rFonts w:ascii="Arial" w:hAnsi="Arial" w:cs="Arial"/>
        </w:rPr>
        <w:t xml:space="preserve"> Chapter 6 of the MSA, Act 32 of 2000 and the Municipal Planning and Performance Management Regulations, 796 of August 2001. </w:t>
      </w:r>
    </w:p>
    <w:p w14:paraId="79420975" w14:textId="77777777" w:rsidR="005C668B" w:rsidRDefault="004D44A9" w:rsidP="004D44A9">
      <w:pPr>
        <w:jc w:val="both"/>
        <w:rPr>
          <w:rFonts w:ascii="Arial" w:hAnsi="Arial" w:cs="Arial"/>
        </w:rPr>
      </w:pPr>
      <w:r w:rsidRPr="00312C74">
        <w:rPr>
          <w:rFonts w:ascii="Arial" w:hAnsi="Arial" w:cs="Arial"/>
        </w:rPr>
        <w:t>Section 7(1) of the aforementioned regulation states that “</w:t>
      </w:r>
      <w:r w:rsidRPr="00312C74">
        <w:rPr>
          <w:rFonts w:ascii="Arial" w:hAnsi="Arial" w:cs="Arial"/>
          <w:b/>
        </w:rPr>
        <w:t>A municipality’s performance management system entails a framework that describes and represents how the municipality’s cycle and processes of performance planning, monitoring, measurement, review, reporting and improvement will be conducted, organised and managed, including determining the responsibilities of the different role players.”</w:t>
      </w:r>
      <w:r w:rsidRPr="00312C74">
        <w:rPr>
          <w:rFonts w:ascii="Arial" w:hAnsi="Arial" w:cs="Arial"/>
        </w:rPr>
        <w:t xml:space="preserve"> </w:t>
      </w:r>
    </w:p>
    <w:p w14:paraId="64C21F72" w14:textId="7571BF2B" w:rsidR="004D44A9" w:rsidRPr="00312C74" w:rsidRDefault="004D44A9" w:rsidP="004D44A9">
      <w:pPr>
        <w:jc w:val="both"/>
        <w:rPr>
          <w:rFonts w:ascii="Arial" w:hAnsi="Arial" w:cs="Arial"/>
        </w:rPr>
      </w:pPr>
      <w:r w:rsidRPr="00312C74">
        <w:rPr>
          <w:rFonts w:ascii="Arial" w:hAnsi="Arial" w:cs="Arial"/>
        </w:rPr>
        <w:t>This framework, inter alia, reflect</w:t>
      </w:r>
      <w:r w:rsidR="00644E1A">
        <w:rPr>
          <w:rFonts w:ascii="Arial" w:hAnsi="Arial" w:cs="Arial"/>
        </w:rPr>
        <w:t>s the linkage between the IDP, B</w:t>
      </w:r>
      <w:r w:rsidRPr="00312C74">
        <w:rPr>
          <w:rFonts w:ascii="Arial" w:hAnsi="Arial" w:cs="Arial"/>
        </w:rPr>
        <w:t>udget, Service Delivery Budget Implementation Plan (SDBIP) and individual and service provider performance. Performance management is not only relevant to the organisation as a whole, but also to the individuals employed in the organisation as well as the external service providers</w:t>
      </w:r>
      <w:r w:rsidR="00644E1A">
        <w:rPr>
          <w:rFonts w:ascii="Arial" w:hAnsi="Arial" w:cs="Arial"/>
        </w:rPr>
        <w:t>, stakeholders</w:t>
      </w:r>
      <w:r w:rsidRPr="00312C74">
        <w:rPr>
          <w:rFonts w:ascii="Arial" w:hAnsi="Arial" w:cs="Arial"/>
        </w:rPr>
        <w:t xml:space="preserve"> and the municipal entities.</w:t>
      </w:r>
    </w:p>
    <w:p w14:paraId="063D52ED" w14:textId="77777777" w:rsidR="004D44A9" w:rsidRPr="00312C74" w:rsidRDefault="004D44A9" w:rsidP="004D44A9">
      <w:pPr>
        <w:jc w:val="both"/>
        <w:rPr>
          <w:rFonts w:ascii="Arial" w:hAnsi="Arial" w:cs="Arial"/>
          <w:sz w:val="18"/>
        </w:rPr>
      </w:pPr>
    </w:p>
    <w:p w14:paraId="79A300E5" w14:textId="61D6F8FA" w:rsidR="004D44A9" w:rsidRPr="00312C74" w:rsidRDefault="004D44A9" w:rsidP="004D44A9">
      <w:pPr>
        <w:jc w:val="both"/>
        <w:rPr>
          <w:rFonts w:ascii="Arial" w:hAnsi="Arial" w:cs="Arial"/>
        </w:rPr>
      </w:pPr>
      <w:r w:rsidRPr="00312C74">
        <w:rPr>
          <w:rFonts w:ascii="Arial" w:hAnsi="Arial" w:cs="Arial"/>
        </w:rPr>
        <w:t>In order to improve on performance planning, implementation, measurement and reporting, the institution implemented the following actions</w:t>
      </w:r>
      <w:r w:rsidR="00644E1A">
        <w:rPr>
          <w:rFonts w:ascii="Arial" w:hAnsi="Arial" w:cs="Arial"/>
        </w:rPr>
        <w:t xml:space="preserve"> since 2019</w:t>
      </w:r>
      <w:r w:rsidRPr="00312C74">
        <w:rPr>
          <w:rFonts w:ascii="Arial" w:hAnsi="Arial" w:cs="Arial"/>
        </w:rPr>
        <w:t>.</w:t>
      </w:r>
    </w:p>
    <w:p w14:paraId="7D66573C" w14:textId="77777777" w:rsidR="004D44A9" w:rsidRPr="00EC4EED" w:rsidRDefault="004D44A9" w:rsidP="004D44A9">
      <w:pPr>
        <w:pStyle w:val="ListParagraph"/>
        <w:numPr>
          <w:ilvl w:val="0"/>
          <w:numId w:val="4"/>
        </w:numPr>
        <w:jc w:val="both"/>
        <w:rPr>
          <w:rFonts w:ascii="Arial" w:hAnsi="Arial" w:cs="Arial"/>
          <w:b/>
          <w:bCs/>
        </w:rPr>
      </w:pPr>
      <w:r w:rsidRPr="00EC4EED">
        <w:rPr>
          <w:rFonts w:ascii="Arial" w:hAnsi="Arial" w:cs="Arial"/>
          <w:b/>
          <w:bCs/>
        </w:rPr>
        <w:t xml:space="preserve">Departmental operational plans were developed for monitoring and reporting operational programmes; </w:t>
      </w:r>
    </w:p>
    <w:p w14:paraId="27BFC397" w14:textId="1AA3F3E0" w:rsidR="005C668B" w:rsidRDefault="005A30DF" w:rsidP="004D44A9">
      <w:pPr>
        <w:pStyle w:val="ListParagraph"/>
        <w:numPr>
          <w:ilvl w:val="0"/>
          <w:numId w:val="4"/>
        </w:numPr>
        <w:jc w:val="both"/>
        <w:rPr>
          <w:rFonts w:ascii="Arial" w:hAnsi="Arial" w:cs="Arial"/>
          <w:b/>
          <w:bCs/>
        </w:rPr>
      </w:pPr>
      <w:r w:rsidRPr="00EC4EED">
        <w:rPr>
          <w:rFonts w:ascii="Arial" w:hAnsi="Arial" w:cs="Arial"/>
          <w:b/>
          <w:bCs/>
        </w:rPr>
        <w:t>A new Performance Management System has been appointed for the Financial year 2024/2025 for a period of three years.</w:t>
      </w:r>
    </w:p>
    <w:p w14:paraId="2CE1CE94" w14:textId="77777777" w:rsidR="008B4BEC" w:rsidRPr="008B4BEC" w:rsidRDefault="008B4BEC" w:rsidP="008B4BEC">
      <w:pPr>
        <w:ind w:left="709" w:hanging="283"/>
        <w:jc w:val="both"/>
        <w:rPr>
          <w:rFonts w:ascii="Arial" w:hAnsi="Arial" w:cs="Arial"/>
          <w:b/>
          <w:bCs/>
        </w:rPr>
      </w:pPr>
      <w:r w:rsidRPr="008B4BEC">
        <w:rPr>
          <w:rFonts w:ascii="Arial" w:hAnsi="Arial" w:cs="Arial"/>
          <w:b/>
          <w:bCs/>
        </w:rPr>
        <w:t>•</w:t>
      </w:r>
      <w:r w:rsidRPr="008B4BEC">
        <w:rPr>
          <w:rFonts w:ascii="Arial" w:hAnsi="Arial" w:cs="Arial"/>
          <w:b/>
          <w:bCs/>
        </w:rPr>
        <w:tab/>
        <w:t xml:space="preserve">The Municipality endeavoured during the development of the Top Layer (TL) Service Delivery and Budget Implementation Plan (SDBIP) as well as with the development of the Departmental SDBIP that the “SMART” principle be adhered to in the setting of indicators and objectives. Emphasis was placed on ensuring that targets were specific and time bound, thus making it measurable. </w:t>
      </w:r>
    </w:p>
    <w:p w14:paraId="429C1085" w14:textId="6DBEE1F3" w:rsidR="008B4BEC" w:rsidRPr="008B4BEC" w:rsidRDefault="008B4BEC" w:rsidP="008B4BEC">
      <w:pPr>
        <w:ind w:left="709" w:hanging="283"/>
        <w:jc w:val="both"/>
        <w:rPr>
          <w:rFonts w:ascii="Arial" w:hAnsi="Arial" w:cs="Arial"/>
          <w:b/>
          <w:bCs/>
        </w:rPr>
      </w:pPr>
      <w:r w:rsidRPr="008B4BEC">
        <w:rPr>
          <w:rFonts w:ascii="Arial" w:hAnsi="Arial" w:cs="Arial"/>
          <w:b/>
          <w:bCs/>
        </w:rPr>
        <w:t>•</w:t>
      </w:r>
      <w:r w:rsidRPr="008B4BEC">
        <w:rPr>
          <w:rFonts w:ascii="Arial" w:hAnsi="Arial" w:cs="Arial"/>
          <w:b/>
          <w:bCs/>
        </w:rPr>
        <w:tab/>
        <w:t xml:space="preserve">Care has been taken to ensure that the </w:t>
      </w:r>
      <w:proofErr w:type="spellStart"/>
      <w:r w:rsidRPr="008B4BEC">
        <w:rPr>
          <w:rFonts w:ascii="Arial" w:hAnsi="Arial" w:cs="Arial"/>
          <w:b/>
          <w:bCs/>
        </w:rPr>
        <w:t>mSCOA</w:t>
      </w:r>
      <w:proofErr w:type="spellEnd"/>
      <w:r w:rsidRPr="008B4BEC">
        <w:rPr>
          <w:rFonts w:ascii="Arial" w:hAnsi="Arial" w:cs="Arial"/>
          <w:b/>
          <w:bCs/>
        </w:rPr>
        <w:t xml:space="preserve"> regulations are adhered to at all times, however the budget are not directly linked with the KPI’s.</w:t>
      </w:r>
    </w:p>
    <w:tbl>
      <w:tblPr>
        <w:tblpPr w:leftFromText="180" w:rightFromText="180" w:vertAnchor="text" w:horzAnchor="margin" w:tblpY="16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10"/>
        <w:gridCol w:w="630"/>
        <w:gridCol w:w="630"/>
        <w:gridCol w:w="720"/>
        <w:gridCol w:w="810"/>
        <w:gridCol w:w="1015"/>
        <w:gridCol w:w="785"/>
        <w:gridCol w:w="450"/>
        <w:gridCol w:w="990"/>
        <w:gridCol w:w="450"/>
        <w:gridCol w:w="630"/>
      </w:tblGrid>
      <w:tr w:rsidR="008B4BEC" w:rsidRPr="00312C74" w14:paraId="050A8C45" w14:textId="77777777" w:rsidTr="008B4BEC">
        <w:trPr>
          <w:cantSplit/>
          <w:trHeight w:val="3860"/>
        </w:trPr>
        <w:tc>
          <w:tcPr>
            <w:tcW w:w="990" w:type="dxa"/>
            <w:shd w:val="clear" w:color="auto" w:fill="92D050"/>
            <w:textDirection w:val="btLr"/>
          </w:tcPr>
          <w:p w14:paraId="51F218DC" w14:textId="77777777" w:rsidR="008B4BEC" w:rsidRPr="00312C74" w:rsidRDefault="008B4BEC" w:rsidP="008B4BEC">
            <w:pPr>
              <w:tabs>
                <w:tab w:val="center" w:pos="4513"/>
                <w:tab w:val="right" w:pos="9026"/>
              </w:tabs>
              <w:ind w:left="113" w:right="113"/>
              <w:rPr>
                <w:rFonts w:ascii="Arial" w:hAnsi="Arial" w:cs="Arial"/>
                <w:color w:val="385623"/>
                <w:sz w:val="18"/>
              </w:rPr>
            </w:pPr>
          </w:p>
        </w:tc>
        <w:tc>
          <w:tcPr>
            <w:tcW w:w="810" w:type="dxa"/>
            <w:shd w:val="clear" w:color="auto" w:fill="92D050"/>
            <w:textDirection w:val="btLr"/>
          </w:tcPr>
          <w:p w14:paraId="4FB08B2F"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Performance</w:t>
            </w:r>
          </w:p>
          <w:p w14:paraId="42D86D0E"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 xml:space="preserve">Policy &amp; Performance </w:t>
            </w:r>
          </w:p>
          <w:p w14:paraId="03DC89E8"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Management</w:t>
            </w:r>
            <w:r>
              <w:rPr>
                <w:rFonts w:ascii="Arial" w:hAnsi="Arial" w:cs="Arial"/>
                <w:color w:val="385623"/>
                <w:sz w:val="16"/>
              </w:rPr>
              <w:t xml:space="preserve"> </w:t>
            </w:r>
            <w:r w:rsidRPr="00312C74">
              <w:rPr>
                <w:rFonts w:ascii="Arial" w:hAnsi="Arial" w:cs="Arial"/>
                <w:color w:val="385623"/>
                <w:sz w:val="16"/>
              </w:rPr>
              <w:t>Framework</w:t>
            </w:r>
          </w:p>
        </w:tc>
        <w:tc>
          <w:tcPr>
            <w:tcW w:w="630" w:type="dxa"/>
            <w:shd w:val="clear" w:color="auto" w:fill="92D050"/>
            <w:textDirection w:val="btLr"/>
          </w:tcPr>
          <w:p w14:paraId="3EA33843"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All MSA s57/56</w:t>
            </w:r>
            <w:r>
              <w:rPr>
                <w:rFonts w:ascii="Arial" w:hAnsi="Arial" w:cs="Arial"/>
                <w:color w:val="385623"/>
                <w:sz w:val="16"/>
              </w:rPr>
              <w:t xml:space="preserve"> </w:t>
            </w:r>
            <w:r w:rsidRPr="00312C74">
              <w:rPr>
                <w:rFonts w:ascii="Arial" w:hAnsi="Arial" w:cs="Arial"/>
                <w:color w:val="385623"/>
                <w:sz w:val="16"/>
              </w:rPr>
              <w:t>Performance</w:t>
            </w:r>
            <w:r>
              <w:rPr>
                <w:rFonts w:ascii="Arial" w:hAnsi="Arial" w:cs="Arial"/>
                <w:color w:val="385623"/>
                <w:sz w:val="16"/>
              </w:rPr>
              <w:t xml:space="preserve"> </w:t>
            </w:r>
            <w:r w:rsidRPr="00312C74">
              <w:rPr>
                <w:rFonts w:ascii="Arial" w:hAnsi="Arial" w:cs="Arial"/>
                <w:color w:val="385623"/>
                <w:sz w:val="16"/>
              </w:rPr>
              <w:t>contracts</w:t>
            </w:r>
          </w:p>
          <w:p w14:paraId="16B237E9"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signed</w:t>
            </w:r>
          </w:p>
        </w:tc>
        <w:tc>
          <w:tcPr>
            <w:tcW w:w="630" w:type="dxa"/>
            <w:shd w:val="clear" w:color="auto" w:fill="92D050"/>
            <w:textDirection w:val="btLr"/>
          </w:tcPr>
          <w:p w14:paraId="4E17A9C1"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Audit</w:t>
            </w:r>
          </w:p>
          <w:p w14:paraId="7CD82F38"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Committee</w:t>
            </w:r>
            <w:r>
              <w:rPr>
                <w:rFonts w:ascii="Arial" w:hAnsi="Arial" w:cs="Arial"/>
                <w:color w:val="385623"/>
                <w:sz w:val="16"/>
              </w:rPr>
              <w:t xml:space="preserve"> operational</w:t>
            </w:r>
          </w:p>
        </w:tc>
        <w:tc>
          <w:tcPr>
            <w:tcW w:w="720" w:type="dxa"/>
            <w:shd w:val="clear" w:color="auto" w:fill="92D050"/>
            <w:textDirection w:val="btLr"/>
          </w:tcPr>
          <w:p w14:paraId="0C987CF2"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Performance Audit/Management Committee</w:t>
            </w:r>
          </w:p>
        </w:tc>
        <w:tc>
          <w:tcPr>
            <w:tcW w:w="810" w:type="dxa"/>
            <w:shd w:val="clear" w:color="auto" w:fill="92D050"/>
            <w:textDirection w:val="btLr"/>
          </w:tcPr>
          <w:p w14:paraId="50FDFE4B"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Municipal</w:t>
            </w:r>
            <w:r>
              <w:rPr>
                <w:rFonts w:ascii="Arial" w:hAnsi="Arial" w:cs="Arial"/>
                <w:color w:val="385623"/>
                <w:sz w:val="16"/>
              </w:rPr>
              <w:t xml:space="preserve"> </w:t>
            </w:r>
            <w:r w:rsidRPr="00312C74">
              <w:rPr>
                <w:rFonts w:ascii="Arial" w:hAnsi="Arial" w:cs="Arial"/>
                <w:color w:val="385623"/>
                <w:sz w:val="16"/>
              </w:rPr>
              <w:t>Public</w:t>
            </w:r>
            <w:r>
              <w:rPr>
                <w:rFonts w:ascii="Arial" w:hAnsi="Arial" w:cs="Arial"/>
                <w:color w:val="385623"/>
                <w:sz w:val="16"/>
              </w:rPr>
              <w:t xml:space="preserve"> </w:t>
            </w:r>
            <w:r w:rsidRPr="00312C74">
              <w:rPr>
                <w:rFonts w:ascii="Arial" w:hAnsi="Arial" w:cs="Arial"/>
                <w:color w:val="385623"/>
                <w:sz w:val="16"/>
              </w:rPr>
              <w:t>Accounts</w:t>
            </w:r>
            <w:r>
              <w:rPr>
                <w:rFonts w:ascii="Arial" w:hAnsi="Arial" w:cs="Arial"/>
                <w:color w:val="385623"/>
                <w:sz w:val="16"/>
              </w:rPr>
              <w:t xml:space="preserve"> </w:t>
            </w:r>
            <w:r w:rsidRPr="00312C74">
              <w:rPr>
                <w:rFonts w:ascii="Arial" w:hAnsi="Arial" w:cs="Arial"/>
                <w:color w:val="385623"/>
                <w:sz w:val="16"/>
              </w:rPr>
              <w:t>Committee</w:t>
            </w:r>
          </w:p>
          <w:p w14:paraId="3B116DCB"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(MPAC</w:t>
            </w:r>
          </w:p>
        </w:tc>
        <w:tc>
          <w:tcPr>
            <w:tcW w:w="1015" w:type="dxa"/>
            <w:shd w:val="clear" w:color="auto" w:fill="92D050"/>
            <w:textDirection w:val="btLr"/>
          </w:tcPr>
          <w:p w14:paraId="26ADE9D4"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Quarterly Performance Reporting to Council</w:t>
            </w:r>
          </w:p>
        </w:tc>
        <w:tc>
          <w:tcPr>
            <w:tcW w:w="785" w:type="dxa"/>
            <w:shd w:val="clear" w:color="auto" w:fill="92D050"/>
            <w:textDirection w:val="btLr"/>
          </w:tcPr>
          <w:p w14:paraId="78F01EC3"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Mid-Year Performance Reporting to Council</w:t>
            </w:r>
          </w:p>
        </w:tc>
        <w:tc>
          <w:tcPr>
            <w:tcW w:w="450" w:type="dxa"/>
            <w:shd w:val="clear" w:color="auto" w:fill="92D050"/>
            <w:textDirection w:val="btLr"/>
          </w:tcPr>
          <w:p w14:paraId="2ED91A40"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sidRPr="00312C74">
              <w:rPr>
                <w:rFonts w:ascii="Arial" w:hAnsi="Arial" w:cs="Arial"/>
                <w:color w:val="385623"/>
                <w:sz w:val="16"/>
              </w:rPr>
              <w:t>Annual</w:t>
            </w:r>
            <w:r>
              <w:rPr>
                <w:rFonts w:ascii="Arial" w:hAnsi="Arial" w:cs="Arial"/>
                <w:color w:val="385623"/>
                <w:sz w:val="16"/>
              </w:rPr>
              <w:t xml:space="preserve"> </w:t>
            </w:r>
            <w:r w:rsidRPr="00312C74">
              <w:rPr>
                <w:rFonts w:ascii="Arial" w:hAnsi="Arial" w:cs="Arial"/>
                <w:color w:val="385623"/>
                <w:sz w:val="16"/>
              </w:rPr>
              <w:t>Reporting</w:t>
            </w:r>
            <w:r>
              <w:rPr>
                <w:rFonts w:ascii="Arial" w:hAnsi="Arial" w:cs="Arial"/>
                <w:color w:val="385623"/>
                <w:sz w:val="16"/>
              </w:rPr>
              <w:t xml:space="preserve"> </w:t>
            </w:r>
            <w:r w:rsidRPr="00312C74">
              <w:rPr>
                <w:rFonts w:ascii="Arial" w:hAnsi="Arial" w:cs="Arial"/>
                <w:color w:val="385623"/>
                <w:sz w:val="16"/>
              </w:rPr>
              <w:t>to Council</w:t>
            </w:r>
          </w:p>
        </w:tc>
        <w:tc>
          <w:tcPr>
            <w:tcW w:w="990" w:type="dxa"/>
            <w:shd w:val="clear" w:color="auto" w:fill="92D050"/>
            <w:textDirection w:val="btLr"/>
          </w:tcPr>
          <w:p w14:paraId="59D0C305"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Pr>
                <w:rFonts w:ascii="Arial" w:hAnsi="Arial" w:cs="Arial"/>
                <w:color w:val="385623"/>
                <w:sz w:val="16"/>
              </w:rPr>
              <w:t>Electronic System for capturing and uploading KPI proof of evidence</w:t>
            </w:r>
          </w:p>
        </w:tc>
        <w:tc>
          <w:tcPr>
            <w:tcW w:w="450" w:type="dxa"/>
            <w:shd w:val="clear" w:color="auto" w:fill="92D050"/>
            <w:textDirection w:val="btLr"/>
          </w:tcPr>
          <w:p w14:paraId="38D67261" w14:textId="77777777" w:rsidR="008B4BEC" w:rsidRDefault="008B4BEC" w:rsidP="008B4BEC">
            <w:pPr>
              <w:tabs>
                <w:tab w:val="center" w:pos="4513"/>
                <w:tab w:val="right" w:pos="9026"/>
              </w:tabs>
              <w:spacing w:after="0"/>
              <w:ind w:left="113" w:right="113"/>
              <w:contextualSpacing/>
              <w:rPr>
                <w:rFonts w:ascii="Arial" w:hAnsi="Arial" w:cs="Arial"/>
                <w:color w:val="385623"/>
                <w:sz w:val="16"/>
              </w:rPr>
            </w:pPr>
            <w:r>
              <w:rPr>
                <w:rFonts w:ascii="Arial" w:hAnsi="Arial" w:cs="Arial"/>
                <w:color w:val="385623"/>
                <w:sz w:val="16"/>
              </w:rPr>
              <w:t xml:space="preserve">Challenges in the Electronic system evaluated </w:t>
            </w:r>
          </w:p>
        </w:tc>
        <w:tc>
          <w:tcPr>
            <w:tcW w:w="630" w:type="dxa"/>
            <w:shd w:val="clear" w:color="auto" w:fill="92D050"/>
            <w:textDirection w:val="btLr"/>
          </w:tcPr>
          <w:p w14:paraId="15EECBBB" w14:textId="77777777" w:rsidR="008B4BEC" w:rsidRPr="00312C74" w:rsidRDefault="008B4BEC" w:rsidP="008B4BEC">
            <w:pPr>
              <w:tabs>
                <w:tab w:val="center" w:pos="4513"/>
                <w:tab w:val="right" w:pos="9026"/>
              </w:tabs>
              <w:spacing w:after="0"/>
              <w:ind w:left="113" w:right="113"/>
              <w:contextualSpacing/>
              <w:rPr>
                <w:rFonts w:ascii="Arial" w:hAnsi="Arial" w:cs="Arial"/>
                <w:color w:val="385623"/>
                <w:sz w:val="16"/>
              </w:rPr>
            </w:pPr>
            <w:r>
              <w:rPr>
                <w:rFonts w:ascii="Arial" w:hAnsi="Arial" w:cs="Arial"/>
                <w:color w:val="385623"/>
                <w:sz w:val="16"/>
              </w:rPr>
              <w:t>Dedicated Performance Management personnel</w:t>
            </w:r>
          </w:p>
        </w:tc>
      </w:tr>
      <w:tr w:rsidR="008B4BEC" w:rsidRPr="00312C74" w14:paraId="037EB0BD" w14:textId="77777777" w:rsidTr="008B4BEC">
        <w:trPr>
          <w:cantSplit/>
          <w:trHeight w:val="2690"/>
        </w:trPr>
        <w:tc>
          <w:tcPr>
            <w:tcW w:w="990" w:type="dxa"/>
            <w:shd w:val="clear" w:color="auto" w:fill="auto"/>
          </w:tcPr>
          <w:p w14:paraId="00B3E38D" w14:textId="77777777" w:rsidR="008B4BEC" w:rsidRPr="00312C74" w:rsidRDefault="008B4BEC" w:rsidP="008B4BEC">
            <w:pPr>
              <w:tabs>
                <w:tab w:val="center" w:pos="4513"/>
                <w:tab w:val="right" w:pos="9026"/>
              </w:tabs>
              <w:rPr>
                <w:rFonts w:ascii="Arial" w:hAnsi="Arial" w:cs="Arial"/>
              </w:rPr>
            </w:pPr>
            <w:r w:rsidRPr="00312C74">
              <w:rPr>
                <w:rFonts w:ascii="Arial" w:hAnsi="Arial" w:cs="Arial"/>
              </w:rPr>
              <w:t>In</w:t>
            </w:r>
          </w:p>
          <w:p w14:paraId="102D3958" w14:textId="77777777" w:rsidR="008B4BEC" w:rsidRPr="00312C74" w:rsidRDefault="008B4BEC" w:rsidP="008B4BEC">
            <w:pPr>
              <w:tabs>
                <w:tab w:val="center" w:pos="4513"/>
                <w:tab w:val="right" w:pos="9026"/>
              </w:tabs>
              <w:rPr>
                <w:rFonts w:ascii="Arial" w:hAnsi="Arial" w:cs="Arial"/>
              </w:rPr>
            </w:pPr>
            <w:r w:rsidRPr="00312C74">
              <w:rPr>
                <w:rFonts w:ascii="Arial" w:hAnsi="Arial" w:cs="Arial"/>
              </w:rPr>
              <w:t>place?</w:t>
            </w:r>
            <w:r>
              <w:rPr>
                <w:rFonts w:ascii="Arial" w:hAnsi="Arial" w:cs="Arial"/>
              </w:rPr>
              <w:t xml:space="preserve"> Dates</w:t>
            </w:r>
          </w:p>
        </w:tc>
        <w:tc>
          <w:tcPr>
            <w:tcW w:w="810" w:type="dxa"/>
            <w:shd w:val="clear" w:color="auto" w:fill="auto"/>
            <w:textDirection w:val="btLr"/>
          </w:tcPr>
          <w:p w14:paraId="31FDA363" w14:textId="77777777" w:rsidR="008B4BEC" w:rsidRPr="00312C74" w:rsidRDefault="008B4BEC" w:rsidP="008B4BEC">
            <w:pPr>
              <w:tabs>
                <w:tab w:val="center" w:pos="4513"/>
                <w:tab w:val="right" w:pos="9026"/>
              </w:tabs>
              <w:ind w:left="113" w:right="113"/>
              <w:jc w:val="center"/>
              <w:rPr>
                <w:rFonts w:ascii="Arial" w:hAnsi="Arial" w:cs="Arial"/>
              </w:rPr>
            </w:pPr>
            <w:r w:rsidRPr="00312C74">
              <w:rPr>
                <w:rFonts w:ascii="Arial" w:hAnsi="Arial" w:cs="Arial"/>
              </w:rPr>
              <w:t>√</w:t>
            </w:r>
          </w:p>
        </w:tc>
        <w:tc>
          <w:tcPr>
            <w:tcW w:w="630" w:type="dxa"/>
            <w:shd w:val="clear" w:color="auto" w:fill="auto"/>
            <w:textDirection w:val="btLr"/>
          </w:tcPr>
          <w:p w14:paraId="6A71D7B4" w14:textId="77777777" w:rsidR="008B4BEC" w:rsidRPr="00312C74" w:rsidRDefault="008B4BEC" w:rsidP="008B4BEC">
            <w:pPr>
              <w:tabs>
                <w:tab w:val="center" w:pos="4513"/>
                <w:tab w:val="right" w:pos="9026"/>
              </w:tabs>
              <w:ind w:left="113" w:right="113"/>
              <w:jc w:val="center"/>
              <w:rPr>
                <w:rFonts w:ascii="Arial" w:hAnsi="Arial" w:cs="Arial"/>
              </w:rPr>
            </w:pPr>
            <w:r w:rsidRPr="00312C74">
              <w:rPr>
                <w:rFonts w:ascii="Arial" w:hAnsi="Arial" w:cs="Arial"/>
              </w:rPr>
              <w:t>√</w:t>
            </w:r>
          </w:p>
        </w:tc>
        <w:tc>
          <w:tcPr>
            <w:tcW w:w="630" w:type="dxa"/>
            <w:shd w:val="clear" w:color="auto" w:fill="auto"/>
            <w:textDirection w:val="btLr"/>
          </w:tcPr>
          <w:p w14:paraId="2C6D0892" w14:textId="77777777" w:rsidR="008B4BEC" w:rsidRPr="00312C74" w:rsidRDefault="008B4BEC" w:rsidP="008B4BEC">
            <w:pPr>
              <w:tabs>
                <w:tab w:val="center" w:pos="4513"/>
                <w:tab w:val="right" w:pos="9026"/>
              </w:tabs>
              <w:ind w:left="113" w:right="113"/>
              <w:jc w:val="center"/>
              <w:rPr>
                <w:rFonts w:ascii="Arial" w:hAnsi="Arial" w:cs="Arial"/>
              </w:rPr>
            </w:pPr>
            <w:r w:rsidRPr="00312C74">
              <w:rPr>
                <w:rFonts w:ascii="Arial" w:hAnsi="Arial" w:cs="Arial"/>
              </w:rPr>
              <w:t>√</w:t>
            </w:r>
          </w:p>
        </w:tc>
        <w:tc>
          <w:tcPr>
            <w:tcW w:w="720" w:type="dxa"/>
            <w:shd w:val="clear" w:color="auto" w:fill="auto"/>
            <w:textDirection w:val="btLr"/>
          </w:tcPr>
          <w:p w14:paraId="6DEE81AF" w14:textId="77777777" w:rsidR="008B4BEC" w:rsidRPr="00312C74" w:rsidRDefault="008B4BEC" w:rsidP="008B4BEC">
            <w:pPr>
              <w:tabs>
                <w:tab w:val="center" w:pos="4513"/>
                <w:tab w:val="right" w:pos="9026"/>
              </w:tabs>
              <w:ind w:left="113" w:right="113"/>
              <w:jc w:val="center"/>
              <w:rPr>
                <w:rFonts w:ascii="Arial" w:hAnsi="Arial" w:cs="Arial"/>
              </w:rPr>
            </w:pPr>
            <w:r>
              <w:rPr>
                <w:rFonts w:ascii="Arial" w:hAnsi="Arial" w:cs="Arial"/>
              </w:rPr>
              <w:t>E</w:t>
            </w:r>
            <w:r w:rsidRPr="00312C74">
              <w:rPr>
                <w:rFonts w:ascii="Arial" w:hAnsi="Arial" w:cs="Arial"/>
              </w:rPr>
              <w:t>stablished</w:t>
            </w:r>
          </w:p>
        </w:tc>
        <w:tc>
          <w:tcPr>
            <w:tcW w:w="810" w:type="dxa"/>
            <w:shd w:val="clear" w:color="auto" w:fill="auto"/>
            <w:textDirection w:val="btLr"/>
          </w:tcPr>
          <w:p w14:paraId="71F1FCB3" w14:textId="77777777" w:rsidR="008B4BEC" w:rsidRPr="00312C74" w:rsidRDefault="008B4BEC" w:rsidP="008B4BEC">
            <w:pPr>
              <w:tabs>
                <w:tab w:val="center" w:pos="4513"/>
                <w:tab w:val="right" w:pos="9026"/>
              </w:tabs>
              <w:ind w:left="113" w:right="113"/>
              <w:jc w:val="center"/>
              <w:rPr>
                <w:rFonts w:ascii="Arial" w:hAnsi="Arial" w:cs="Arial"/>
              </w:rPr>
            </w:pPr>
            <w:r w:rsidRPr="00312C74">
              <w:rPr>
                <w:rFonts w:ascii="Arial" w:hAnsi="Arial" w:cs="Arial"/>
              </w:rPr>
              <w:t>√</w:t>
            </w:r>
          </w:p>
        </w:tc>
        <w:tc>
          <w:tcPr>
            <w:tcW w:w="1015" w:type="dxa"/>
            <w:shd w:val="clear" w:color="auto" w:fill="auto"/>
            <w:textDirection w:val="btLr"/>
          </w:tcPr>
          <w:p w14:paraId="6B784F0B" w14:textId="77777777" w:rsidR="008B4BEC" w:rsidRDefault="008B4BEC" w:rsidP="008B4BEC">
            <w:pPr>
              <w:tabs>
                <w:tab w:val="center" w:pos="4513"/>
                <w:tab w:val="right" w:pos="9026"/>
              </w:tabs>
              <w:spacing w:after="0" w:line="240" w:lineRule="auto"/>
              <w:ind w:left="113" w:right="113"/>
              <w:rPr>
                <w:rFonts w:ascii="Arial" w:hAnsi="Arial" w:cs="Arial"/>
              </w:rPr>
            </w:pPr>
            <w:r>
              <w:rPr>
                <w:rFonts w:ascii="Arial" w:hAnsi="Arial" w:cs="Arial"/>
              </w:rPr>
              <w:t>Q1 30 October 2024</w:t>
            </w:r>
          </w:p>
          <w:p w14:paraId="017D481E" w14:textId="77777777" w:rsidR="008B4BEC" w:rsidRDefault="008B4BEC" w:rsidP="008B4BEC">
            <w:pPr>
              <w:tabs>
                <w:tab w:val="center" w:pos="4513"/>
                <w:tab w:val="right" w:pos="9026"/>
              </w:tabs>
              <w:spacing w:after="0" w:line="240" w:lineRule="auto"/>
              <w:ind w:left="113" w:right="113"/>
              <w:rPr>
                <w:rFonts w:ascii="Arial" w:hAnsi="Arial" w:cs="Arial"/>
              </w:rPr>
            </w:pPr>
            <w:r>
              <w:rPr>
                <w:rFonts w:ascii="Arial" w:hAnsi="Arial" w:cs="Arial"/>
              </w:rPr>
              <w:t>Q2 30 January 2025</w:t>
            </w:r>
          </w:p>
          <w:p w14:paraId="3E4468C3" w14:textId="77777777" w:rsidR="008B4BEC" w:rsidRPr="00312C74" w:rsidRDefault="008B4BEC" w:rsidP="008B4BEC">
            <w:pPr>
              <w:tabs>
                <w:tab w:val="center" w:pos="4513"/>
                <w:tab w:val="right" w:pos="9026"/>
              </w:tabs>
              <w:spacing w:after="0" w:line="240" w:lineRule="auto"/>
              <w:ind w:left="113" w:right="113"/>
              <w:rPr>
                <w:rFonts w:ascii="Arial" w:hAnsi="Arial" w:cs="Arial"/>
              </w:rPr>
            </w:pPr>
          </w:p>
        </w:tc>
        <w:tc>
          <w:tcPr>
            <w:tcW w:w="785" w:type="dxa"/>
            <w:shd w:val="clear" w:color="auto" w:fill="auto"/>
            <w:textDirection w:val="btLr"/>
          </w:tcPr>
          <w:p w14:paraId="6173CDB7" w14:textId="77777777" w:rsidR="008B4BEC" w:rsidRPr="005A30DF" w:rsidRDefault="008B4BEC" w:rsidP="008B4BEC">
            <w:pPr>
              <w:tabs>
                <w:tab w:val="center" w:pos="4513"/>
                <w:tab w:val="right" w:pos="9026"/>
              </w:tabs>
              <w:ind w:left="113" w:right="113"/>
              <w:jc w:val="center"/>
              <w:rPr>
                <w:rFonts w:ascii="Arial" w:hAnsi="Arial" w:cs="Arial"/>
              </w:rPr>
            </w:pPr>
            <w:r w:rsidRPr="005A30DF">
              <w:rPr>
                <w:rFonts w:ascii="Arial" w:hAnsi="Arial" w:cs="Arial"/>
                <w:color w:val="0D0D0D" w:themeColor="text1" w:themeTint="F2"/>
              </w:rPr>
              <w:t xml:space="preserve"> Jan 202</w:t>
            </w:r>
            <w:r>
              <w:rPr>
                <w:rFonts w:ascii="Arial" w:hAnsi="Arial" w:cs="Arial"/>
                <w:color w:val="0D0D0D" w:themeColor="text1" w:themeTint="F2"/>
              </w:rPr>
              <w:t>5</w:t>
            </w:r>
          </w:p>
        </w:tc>
        <w:tc>
          <w:tcPr>
            <w:tcW w:w="450" w:type="dxa"/>
            <w:shd w:val="clear" w:color="auto" w:fill="auto"/>
            <w:textDirection w:val="btLr"/>
          </w:tcPr>
          <w:p w14:paraId="32A7D8B9" w14:textId="77777777" w:rsidR="008B4BEC" w:rsidRPr="00312C74" w:rsidRDefault="008B4BEC" w:rsidP="008B4BEC">
            <w:pPr>
              <w:tabs>
                <w:tab w:val="center" w:pos="4513"/>
                <w:tab w:val="right" w:pos="9026"/>
              </w:tabs>
              <w:ind w:left="113" w:right="113"/>
              <w:jc w:val="center"/>
              <w:rPr>
                <w:rFonts w:ascii="Arial" w:hAnsi="Arial" w:cs="Arial"/>
              </w:rPr>
            </w:pPr>
            <w:r w:rsidRPr="005C668B">
              <w:rPr>
                <w:rFonts w:ascii="Arial" w:hAnsi="Arial" w:cs="Arial"/>
                <w:color w:val="FF0000"/>
              </w:rPr>
              <w:t xml:space="preserve"> Aug 202</w:t>
            </w:r>
            <w:r>
              <w:rPr>
                <w:rFonts w:ascii="Arial" w:hAnsi="Arial" w:cs="Arial"/>
                <w:color w:val="FF0000"/>
              </w:rPr>
              <w:t>5</w:t>
            </w:r>
          </w:p>
        </w:tc>
        <w:tc>
          <w:tcPr>
            <w:tcW w:w="990" w:type="dxa"/>
            <w:textDirection w:val="btLr"/>
          </w:tcPr>
          <w:p w14:paraId="6C31F29E" w14:textId="77777777" w:rsidR="008B4BEC" w:rsidRDefault="008B4BEC" w:rsidP="008B4BEC">
            <w:pPr>
              <w:tabs>
                <w:tab w:val="center" w:pos="4513"/>
                <w:tab w:val="right" w:pos="9026"/>
              </w:tabs>
              <w:ind w:left="113" w:right="113"/>
              <w:rPr>
                <w:rFonts w:ascii="Arial" w:hAnsi="Arial" w:cs="Arial"/>
              </w:rPr>
            </w:pPr>
            <w:r>
              <w:rPr>
                <w:rFonts w:ascii="Arial" w:hAnsi="Arial" w:cs="Arial"/>
              </w:rPr>
              <w:t>IGNITE Performance Management System</w:t>
            </w:r>
          </w:p>
        </w:tc>
        <w:tc>
          <w:tcPr>
            <w:tcW w:w="450" w:type="dxa"/>
            <w:textDirection w:val="btLr"/>
          </w:tcPr>
          <w:p w14:paraId="53358731" w14:textId="77777777" w:rsidR="008B4BEC" w:rsidRDefault="008B4BEC" w:rsidP="008B4BEC">
            <w:pPr>
              <w:tabs>
                <w:tab w:val="center" w:pos="4513"/>
                <w:tab w:val="right" w:pos="9026"/>
              </w:tabs>
              <w:ind w:left="113" w:right="113"/>
              <w:jc w:val="center"/>
              <w:rPr>
                <w:rFonts w:ascii="Arial" w:hAnsi="Arial" w:cs="Arial"/>
              </w:rPr>
            </w:pPr>
            <w:r>
              <w:rPr>
                <w:rFonts w:ascii="Arial" w:hAnsi="Arial" w:cs="Arial"/>
              </w:rPr>
              <w:t>No</w:t>
            </w:r>
          </w:p>
        </w:tc>
        <w:tc>
          <w:tcPr>
            <w:tcW w:w="630" w:type="dxa"/>
            <w:textDirection w:val="btLr"/>
          </w:tcPr>
          <w:p w14:paraId="47903CF0" w14:textId="77777777" w:rsidR="008B4BEC" w:rsidRDefault="008B4BEC" w:rsidP="008B4BEC">
            <w:pPr>
              <w:tabs>
                <w:tab w:val="center" w:pos="4513"/>
                <w:tab w:val="right" w:pos="9026"/>
              </w:tabs>
              <w:ind w:left="113" w:right="113"/>
              <w:rPr>
                <w:rFonts w:ascii="Arial" w:hAnsi="Arial" w:cs="Arial"/>
              </w:rPr>
            </w:pPr>
            <w:r>
              <w:rPr>
                <w:rFonts w:ascii="Arial" w:hAnsi="Arial" w:cs="Arial"/>
              </w:rPr>
              <w:t xml:space="preserve">                 Yes</w:t>
            </w:r>
          </w:p>
        </w:tc>
      </w:tr>
    </w:tbl>
    <w:p w14:paraId="4B1A3938" w14:textId="77777777" w:rsidR="005A30DF" w:rsidRPr="00312C74" w:rsidRDefault="005A30DF" w:rsidP="005A30DF">
      <w:pPr>
        <w:pStyle w:val="ListParagraph"/>
        <w:ind w:left="765"/>
        <w:jc w:val="both"/>
        <w:rPr>
          <w:rFonts w:ascii="Arial" w:hAnsi="Arial" w:cs="Arial"/>
        </w:rPr>
      </w:pPr>
    </w:p>
    <w:p w14:paraId="05B3F857" w14:textId="7F52EBEC" w:rsidR="004D44A9" w:rsidRPr="00312C74" w:rsidRDefault="004D44A9" w:rsidP="004D44A9">
      <w:pPr>
        <w:jc w:val="center"/>
        <w:rPr>
          <w:rFonts w:ascii="Arial" w:hAnsi="Arial" w:cs="Arial"/>
        </w:rPr>
      </w:pPr>
      <w:r w:rsidRPr="00312C74">
        <w:rPr>
          <w:rFonts w:ascii="Arial" w:hAnsi="Arial" w:cs="Arial"/>
          <w:b/>
          <w:bCs/>
        </w:rPr>
        <w:t xml:space="preserve">TABLE </w:t>
      </w:r>
      <w:r w:rsidR="00550DFE" w:rsidRPr="00312C74">
        <w:rPr>
          <w:rFonts w:ascii="Arial" w:hAnsi="Arial" w:cs="Arial"/>
          <w:b/>
          <w:bCs/>
        </w:rPr>
        <w:t>1</w:t>
      </w:r>
      <w:r w:rsidRPr="00312C74">
        <w:rPr>
          <w:rFonts w:ascii="Arial" w:hAnsi="Arial" w:cs="Arial"/>
          <w:b/>
          <w:bCs/>
        </w:rPr>
        <w:t>:</w:t>
      </w:r>
      <w:r w:rsidR="00550DFE" w:rsidRPr="00312C74">
        <w:rPr>
          <w:rFonts w:ascii="Arial" w:hAnsi="Arial" w:cs="Arial"/>
          <w:b/>
          <w:bCs/>
        </w:rPr>
        <w:t xml:space="preserve"> </w:t>
      </w:r>
      <w:r w:rsidRPr="00312C74">
        <w:rPr>
          <w:rFonts w:ascii="Arial" w:hAnsi="Arial" w:cs="Arial"/>
          <w:b/>
          <w:bCs/>
        </w:rPr>
        <w:t>Performance Management System Checklist</w:t>
      </w:r>
    </w:p>
    <w:p w14:paraId="644AD288" w14:textId="77777777" w:rsidR="004D44A9" w:rsidRPr="00312C74" w:rsidRDefault="004D44A9" w:rsidP="004D44A9">
      <w:pPr>
        <w:jc w:val="both"/>
        <w:rPr>
          <w:rFonts w:ascii="Arial" w:hAnsi="Arial" w:cs="Arial"/>
        </w:rPr>
      </w:pPr>
    </w:p>
    <w:p w14:paraId="257B9CB3" w14:textId="78C871E5" w:rsidR="004D44A9" w:rsidRPr="00312C74" w:rsidRDefault="004D44A9" w:rsidP="004D44A9">
      <w:pPr>
        <w:rPr>
          <w:rFonts w:ascii="Arial" w:hAnsi="Arial" w:cs="Arial"/>
        </w:rPr>
      </w:pPr>
      <w:r w:rsidRPr="00312C74">
        <w:rPr>
          <w:rFonts w:ascii="Arial" w:hAnsi="Arial" w:cs="Arial"/>
        </w:rPr>
        <w:t xml:space="preserve">The Municipal Scorecard (Top Layer SDBIP) consolidate service delivery targets set by the Council/Senior Management and provide an overall picture of performance for the Municipality as a whole, reflecting performance on its strategic priorities. </w:t>
      </w:r>
    </w:p>
    <w:p w14:paraId="12374B15" w14:textId="77777777" w:rsidR="004D44A9" w:rsidRPr="00312C74" w:rsidRDefault="004D44A9" w:rsidP="004D44A9">
      <w:pPr>
        <w:rPr>
          <w:rFonts w:ascii="Arial" w:hAnsi="Arial" w:cs="Arial"/>
        </w:rPr>
      </w:pPr>
    </w:p>
    <w:p w14:paraId="6E48261D" w14:textId="0CDC7FA1" w:rsidR="004D44A9" w:rsidRPr="00312C74" w:rsidRDefault="004D44A9" w:rsidP="004D44A9">
      <w:pPr>
        <w:rPr>
          <w:rFonts w:ascii="Arial" w:hAnsi="Arial" w:cs="Arial"/>
        </w:rPr>
      </w:pPr>
      <w:r w:rsidRPr="00312C74">
        <w:rPr>
          <w:rFonts w:ascii="Arial" w:hAnsi="Arial" w:cs="Arial"/>
        </w:rPr>
        <w:t>Components of the Top Layer SDBIP</w:t>
      </w:r>
      <w:r w:rsidR="00312C74" w:rsidRPr="00312C74">
        <w:rPr>
          <w:rFonts w:ascii="Arial" w:hAnsi="Arial" w:cs="Arial"/>
        </w:rPr>
        <w:t xml:space="preserve"> for </w:t>
      </w:r>
      <w:r w:rsidR="005C668B">
        <w:rPr>
          <w:rFonts w:ascii="Arial" w:hAnsi="Arial" w:cs="Arial"/>
        </w:rPr>
        <w:t>202</w:t>
      </w:r>
      <w:r w:rsidR="00A3008B">
        <w:rPr>
          <w:rFonts w:ascii="Arial" w:hAnsi="Arial" w:cs="Arial"/>
        </w:rPr>
        <w:t>4</w:t>
      </w:r>
      <w:r w:rsidR="005C668B">
        <w:rPr>
          <w:rFonts w:ascii="Arial" w:hAnsi="Arial" w:cs="Arial"/>
        </w:rPr>
        <w:t>/202</w:t>
      </w:r>
      <w:r w:rsidR="00A3008B">
        <w:rPr>
          <w:rFonts w:ascii="Arial" w:hAnsi="Arial" w:cs="Arial"/>
        </w:rPr>
        <w:t>5</w:t>
      </w:r>
      <w:r w:rsidRPr="00312C74">
        <w:rPr>
          <w:rFonts w:ascii="Arial" w:hAnsi="Arial" w:cs="Arial"/>
        </w:rPr>
        <w:t xml:space="preserve"> included: </w:t>
      </w:r>
    </w:p>
    <w:p w14:paraId="60EB1D4B" w14:textId="77777777" w:rsidR="004D44A9" w:rsidRPr="00312C74" w:rsidRDefault="004D44A9" w:rsidP="004D44A9">
      <w:pPr>
        <w:pStyle w:val="ListParagraph"/>
        <w:numPr>
          <w:ilvl w:val="0"/>
          <w:numId w:val="9"/>
        </w:numPr>
        <w:rPr>
          <w:rFonts w:ascii="Arial" w:hAnsi="Arial" w:cs="Arial"/>
        </w:rPr>
      </w:pPr>
      <w:r w:rsidRPr="00312C74">
        <w:rPr>
          <w:rFonts w:ascii="Arial" w:hAnsi="Arial" w:cs="Arial"/>
        </w:rPr>
        <w:t>One-year detailed plan, but should include a three year capital plan;</w:t>
      </w:r>
    </w:p>
    <w:p w14:paraId="36CFC2B4" w14:textId="77777777" w:rsidR="004D44A9" w:rsidRPr="00312C74" w:rsidRDefault="004D44A9" w:rsidP="004D44A9">
      <w:pPr>
        <w:pStyle w:val="ListParagraph"/>
        <w:numPr>
          <w:ilvl w:val="0"/>
          <w:numId w:val="9"/>
        </w:numPr>
        <w:rPr>
          <w:rFonts w:ascii="Arial" w:hAnsi="Arial" w:cs="Arial"/>
        </w:rPr>
      </w:pPr>
      <w:r w:rsidRPr="00312C74">
        <w:rPr>
          <w:rFonts w:ascii="Arial" w:hAnsi="Arial" w:cs="Arial"/>
        </w:rPr>
        <w:t xml:space="preserve">The 5 necessary components includes: </w:t>
      </w:r>
    </w:p>
    <w:p w14:paraId="5B6D41EA" w14:textId="77777777" w:rsidR="004D44A9" w:rsidRPr="00312C74" w:rsidRDefault="004D44A9" w:rsidP="004D44A9">
      <w:pPr>
        <w:pStyle w:val="ListParagraph"/>
        <w:numPr>
          <w:ilvl w:val="0"/>
          <w:numId w:val="9"/>
        </w:numPr>
        <w:ind w:left="1080"/>
        <w:rPr>
          <w:rFonts w:ascii="Arial" w:hAnsi="Arial" w:cs="Arial"/>
        </w:rPr>
      </w:pPr>
      <w:r w:rsidRPr="00312C74">
        <w:rPr>
          <w:rFonts w:ascii="Arial" w:hAnsi="Arial" w:cs="Arial"/>
        </w:rPr>
        <w:t>Monthly projections of revenue to be collected for each source</w:t>
      </w:r>
    </w:p>
    <w:p w14:paraId="098695A3" w14:textId="77777777" w:rsidR="004D44A9" w:rsidRPr="00312C74" w:rsidRDefault="004D44A9" w:rsidP="004D44A9">
      <w:pPr>
        <w:pStyle w:val="ListParagraph"/>
        <w:numPr>
          <w:ilvl w:val="1"/>
          <w:numId w:val="9"/>
        </w:numPr>
        <w:rPr>
          <w:rFonts w:ascii="Arial" w:hAnsi="Arial" w:cs="Arial"/>
        </w:rPr>
      </w:pPr>
      <w:r w:rsidRPr="00312C74">
        <w:rPr>
          <w:rFonts w:ascii="Arial" w:hAnsi="Arial" w:cs="Arial"/>
        </w:rPr>
        <w:t>Expected revenue to be collected NOT Billed</w:t>
      </w:r>
    </w:p>
    <w:p w14:paraId="0B2749B6" w14:textId="77777777" w:rsidR="004D44A9" w:rsidRPr="00312C74" w:rsidRDefault="004D44A9" w:rsidP="004D44A9">
      <w:pPr>
        <w:pStyle w:val="ListParagraph"/>
        <w:numPr>
          <w:ilvl w:val="0"/>
          <w:numId w:val="9"/>
        </w:numPr>
        <w:ind w:left="1080"/>
        <w:rPr>
          <w:rFonts w:ascii="Arial" w:hAnsi="Arial" w:cs="Arial"/>
        </w:rPr>
      </w:pPr>
      <w:r w:rsidRPr="00312C74">
        <w:rPr>
          <w:rFonts w:ascii="Arial" w:hAnsi="Arial" w:cs="Arial"/>
        </w:rPr>
        <w:t>Monthly projections of expenditure (operating and capital) and revenue for each vote</w:t>
      </w:r>
    </w:p>
    <w:p w14:paraId="7D438722" w14:textId="77777777" w:rsidR="004D44A9" w:rsidRPr="00312C74" w:rsidRDefault="004D44A9" w:rsidP="004D44A9">
      <w:pPr>
        <w:pStyle w:val="ListParagraph"/>
        <w:numPr>
          <w:ilvl w:val="1"/>
          <w:numId w:val="9"/>
        </w:numPr>
        <w:rPr>
          <w:rFonts w:ascii="Arial" w:hAnsi="Arial" w:cs="Arial"/>
        </w:rPr>
      </w:pPr>
      <w:r w:rsidRPr="00312C74">
        <w:rPr>
          <w:rFonts w:ascii="Arial" w:hAnsi="Arial" w:cs="Arial"/>
        </w:rPr>
        <w:t>Section 71 format(Monthly budget statements)</w:t>
      </w:r>
    </w:p>
    <w:p w14:paraId="22A41026" w14:textId="77777777" w:rsidR="004D44A9" w:rsidRPr="00312C74" w:rsidRDefault="004D44A9" w:rsidP="004D44A9">
      <w:pPr>
        <w:pStyle w:val="ListParagraph"/>
        <w:numPr>
          <w:ilvl w:val="0"/>
          <w:numId w:val="9"/>
        </w:numPr>
        <w:ind w:left="1080"/>
        <w:rPr>
          <w:rFonts w:ascii="Arial" w:hAnsi="Arial" w:cs="Arial"/>
        </w:rPr>
      </w:pPr>
      <w:r w:rsidRPr="00312C74">
        <w:rPr>
          <w:rFonts w:ascii="Arial" w:hAnsi="Arial" w:cs="Arial"/>
        </w:rPr>
        <w:t>Quarterly projections  of service delivery targets and performance indicators for each vote</w:t>
      </w:r>
    </w:p>
    <w:p w14:paraId="0B0C51C2" w14:textId="77777777" w:rsidR="004D44A9" w:rsidRPr="00312C74" w:rsidRDefault="004D44A9" w:rsidP="004D44A9">
      <w:pPr>
        <w:pStyle w:val="ListParagraph"/>
        <w:numPr>
          <w:ilvl w:val="1"/>
          <w:numId w:val="9"/>
        </w:numPr>
        <w:rPr>
          <w:rFonts w:ascii="Arial" w:hAnsi="Arial" w:cs="Arial"/>
          <w:b/>
        </w:rPr>
      </w:pPr>
      <w:proofErr w:type="spellStart"/>
      <w:r w:rsidRPr="00312C74">
        <w:rPr>
          <w:rFonts w:ascii="Arial" w:hAnsi="Arial" w:cs="Arial"/>
          <w:b/>
        </w:rPr>
        <w:t>Non financial</w:t>
      </w:r>
      <w:proofErr w:type="spellEnd"/>
      <w:r w:rsidRPr="00312C74">
        <w:rPr>
          <w:rFonts w:ascii="Arial" w:hAnsi="Arial" w:cs="Arial"/>
          <w:b/>
        </w:rPr>
        <w:t xml:space="preserve"> measurable performance objectives in form of targets and indicators</w:t>
      </w:r>
    </w:p>
    <w:p w14:paraId="72A92BAE" w14:textId="77777777" w:rsidR="004D44A9" w:rsidRPr="00312C74" w:rsidRDefault="004D44A9" w:rsidP="004D44A9">
      <w:pPr>
        <w:pStyle w:val="ListParagraph"/>
        <w:numPr>
          <w:ilvl w:val="1"/>
          <w:numId w:val="9"/>
        </w:numPr>
        <w:rPr>
          <w:rFonts w:ascii="Arial" w:hAnsi="Arial" w:cs="Arial"/>
        </w:rPr>
      </w:pPr>
      <w:r w:rsidRPr="00312C74">
        <w:rPr>
          <w:rFonts w:ascii="Arial" w:hAnsi="Arial" w:cs="Arial"/>
        </w:rPr>
        <w:t>Output NOT input /internal management objectives</w:t>
      </w:r>
    </w:p>
    <w:p w14:paraId="5EFDB8DB" w14:textId="77777777" w:rsidR="004D44A9" w:rsidRPr="00312C74" w:rsidRDefault="004D44A9" w:rsidP="004D44A9">
      <w:pPr>
        <w:pStyle w:val="ListParagraph"/>
        <w:numPr>
          <w:ilvl w:val="1"/>
          <w:numId w:val="9"/>
        </w:numPr>
        <w:rPr>
          <w:rFonts w:ascii="Arial" w:hAnsi="Arial" w:cs="Arial"/>
        </w:rPr>
      </w:pPr>
      <w:r w:rsidRPr="00312C74">
        <w:rPr>
          <w:rFonts w:ascii="Arial" w:hAnsi="Arial" w:cs="Arial"/>
        </w:rPr>
        <w:t>Level and standard of service being provided to the community</w:t>
      </w:r>
    </w:p>
    <w:p w14:paraId="46A99322" w14:textId="77777777" w:rsidR="004D44A9" w:rsidRPr="00312C74" w:rsidRDefault="004D44A9" w:rsidP="004D44A9">
      <w:pPr>
        <w:pStyle w:val="ListParagraph"/>
        <w:numPr>
          <w:ilvl w:val="0"/>
          <w:numId w:val="9"/>
        </w:numPr>
        <w:ind w:left="1080"/>
        <w:rPr>
          <w:rFonts w:ascii="Arial" w:hAnsi="Arial" w:cs="Arial"/>
        </w:rPr>
      </w:pPr>
      <w:r w:rsidRPr="00312C74">
        <w:rPr>
          <w:rFonts w:ascii="Arial" w:hAnsi="Arial" w:cs="Arial"/>
        </w:rPr>
        <w:t>Ward Information for expenditure and service delivery</w:t>
      </w:r>
    </w:p>
    <w:p w14:paraId="727E5691" w14:textId="41215C73" w:rsidR="004D44A9" w:rsidRPr="00312C74" w:rsidRDefault="004D44A9" w:rsidP="004D44A9">
      <w:pPr>
        <w:pStyle w:val="ListParagraph"/>
        <w:numPr>
          <w:ilvl w:val="0"/>
          <w:numId w:val="9"/>
        </w:numPr>
        <w:ind w:left="1080"/>
        <w:rPr>
          <w:rFonts w:ascii="Arial" w:hAnsi="Arial" w:cs="Arial"/>
        </w:rPr>
      </w:pPr>
      <w:r w:rsidRPr="00312C74">
        <w:rPr>
          <w:rFonts w:ascii="Arial" w:hAnsi="Arial" w:cs="Arial"/>
        </w:rPr>
        <w:t>Detailed Capital project plan broken down by ward over three years</w:t>
      </w:r>
    </w:p>
    <w:p w14:paraId="5DB8F8F6" w14:textId="77777777" w:rsidR="0034133B" w:rsidRDefault="0034133B" w:rsidP="004D44A9">
      <w:pPr>
        <w:rPr>
          <w:rFonts w:ascii="Arial" w:hAnsi="Arial" w:cs="Arial"/>
          <w:b/>
        </w:rPr>
      </w:pPr>
    </w:p>
    <w:p w14:paraId="73CBE2FF" w14:textId="77777777" w:rsidR="004D44A9" w:rsidRPr="00312C74" w:rsidRDefault="004D44A9" w:rsidP="004D44A9">
      <w:pPr>
        <w:rPr>
          <w:rFonts w:ascii="Arial" w:hAnsi="Arial" w:cs="Arial"/>
          <w:b/>
        </w:rPr>
      </w:pPr>
      <w:r w:rsidRPr="00312C74">
        <w:rPr>
          <w:rFonts w:ascii="Arial" w:hAnsi="Arial" w:cs="Arial"/>
          <w:b/>
        </w:rPr>
        <w:t xml:space="preserve">Top Layer KPI’s prepared based on the following: </w:t>
      </w:r>
    </w:p>
    <w:p w14:paraId="6FD0473F" w14:textId="77777777" w:rsidR="004D44A9" w:rsidRPr="00312C74" w:rsidRDefault="004D44A9" w:rsidP="004D44A9">
      <w:pPr>
        <w:pStyle w:val="ListParagraph"/>
        <w:numPr>
          <w:ilvl w:val="0"/>
          <w:numId w:val="10"/>
        </w:numPr>
        <w:rPr>
          <w:rFonts w:ascii="Arial" w:hAnsi="Arial" w:cs="Arial"/>
        </w:rPr>
      </w:pPr>
      <w:r w:rsidRPr="00312C74">
        <w:rPr>
          <w:rFonts w:ascii="Arial" w:hAnsi="Arial" w:cs="Arial"/>
        </w:rPr>
        <w:t>KPI’s identified during the IDP processes and KPI’s that need to be reported to key municipal stakeholders.</w:t>
      </w:r>
    </w:p>
    <w:p w14:paraId="244A2A68" w14:textId="4DBA1233" w:rsidR="004D44A9" w:rsidRPr="00312C74" w:rsidRDefault="004D44A9" w:rsidP="004D44A9">
      <w:pPr>
        <w:pStyle w:val="ListParagraph"/>
        <w:numPr>
          <w:ilvl w:val="0"/>
          <w:numId w:val="10"/>
        </w:numPr>
        <w:rPr>
          <w:rFonts w:ascii="Arial" w:hAnsi="Arial" w:cs="Arial"/>
        </w:rPr>
      </w:pPr>
      <w:r w:rsidRPr="00312C74">
        <w:rPr>
          <w:rFonts w:ascii="Arial" w:hAnsi="Arial" w:cs="Arial"/>
        </w:rPr>
        <w:t>K</w:t>
      </w:r>
      <w:r w:rsidR="00C80F35">
        <w:rPr>
          <w:rFonts w:ascii="Arial" w:hAnsi="Arial" w:cs="Arial"/>
        </w:rPr>
        <w:t>P</w:t>
      </w:r>
      <w:r w:rsidRPr="00312C74">
        <w:rPr>
          <w:rFonts w:ascii="Arial" w:hAnsi="Arial" w:cs="Arial"/>
        </w:rPr>
        <w:t>I’s to address the required National Agenda, priorities and minimum reporting requirements.</w:t>
      </w:r>
    </w:p>
    <w:p w14:paraId="4C49AE9F" w14:textId="77777777" w:rsidR="004D44A9" w:rsidRPr="00312C74" w:rsidRDefault="004D44A9" w:rsidP="004D44A9">
      <w:pPr>
        <w:pStyle w:val="ListParagraph"/>
        <w:numPr>
          <w:ilvl w:val="0"/>
          <w:numId w:val="10"/>
        </w:numPr>
        <w:rPr>
          <w:rFonts w:ascii="Arial" w:hAnsi="Arial" w:cs="Arial"/>
        </w:rPr>
      </w:pPr>
      <w:r w:rsidRPr="00312C74">
        <w:rPr>
          <w:rFonts w:ascii="Arial" w:hAnsi="Arial" w:cs="Arial"/>
        </w:rPr>
        <w:t>KPI’s to give effect to the Strategic Objectives and to the Budget for Implementation thereof.</w:t>
      </w:r>
    </w:p>
    <w:p w14:paraId="3AC9B7BE" w14:textId="6ABD7AAE" w:rsidR="004D44A9" w:rsidRPr="00C80F35" w:rsidRDefault="004D44A9" w:rsidP="00C80F35">
      <w:pPr>
        <w:pStyle w:val="ListParagraph"/>
        <w:numPr>
          <w:ilvl w:val="0"/>
          <w:numId w:val="10"/>
        </w:numPr>
        <w:rPr>
          <w:rFonts w:ascii="Arial" w:hAnsi="Arial" w:cs="Arial"/>
        </w:rPr>
      </w:pPr>
      <w:r w:rsidRPr="00312C74">
        <w:rPr>
          <w:rFonts w:ascii="Arial" w:hAnsi="Arial" w:cs="Arial"/>
        </w:rPr>
        <w:t>National KPI set through legislation</w:t>
      </w:r>
      <w:r w:rsidR="00C80F35">
        <w:rPr>
          <w:rFonts w:ascii="Arial" w:hAnsi="Arial" w:cs="Arial"/>
        </w:rPr>
        <w:t>.</w:t>
      </w:r>
      <w:r w:rsidR="00312C74" w:rsidRPr="00C80F35">
        <w:rPr>
          <w:rFonts w:ascii="Arial" w:hAnsi="Arial" w:cs="Arial"/>
        </w:rPr>
        <w:br w:type="page"/>
      </w:r>
    </w:p>
    <w:p w14:paraId="65DE8B44" w14:textId="0D1ACEAA" w:rsidR="004D44A9" w:rsidRPr="00312C74" w:rsidRDefault="00312C74" w:rsidP="0031371B">
      <w:pPr>
        <w:pStyle w:val="Heading2"/>
        <w:numPr>
          <w:ilvl w:val="0"/>
          <w:numId w:val="34"/>
        </w:numPr>
        <w:ind w:hanging="810"/>
      </w:pPr>
      <w:bookmarkStart w:id="9" w:name="_Toc180746329"/>
      <w:r w:rsidRPr="00312C74">
        <w:t>PURPOSE</w:t>
      </w:r>
      <w:bookmarkEnd w:id="9"/>
    </w:p>
    <w:p w14:paraId="5217591A" w14:textId="77777777" w:rsidR="004D44A9" w:rsidRPr="00312C74" w:rsidRDefault="004D44A9">
      <w:pPr>
        <w:rPr>
          <w:rFonts w:ascii="Arial" w:hAnsi="Arial" w:cs="Arial"/>
          <w:sz w:val="20"/>
        </w:rPr>
      </w:pPr>
    </w:p>
    <w:p w14:paraId="2F2C5301" w14:textId="1DA87FA6" w:rsidR="001A010A" w:rsidRPr="002F2512" w:rsidRDefault="001A010A" w:rsidP="001A010A">
      <w:pPr>
        <w:pStyle w:val="ListParagraph"/>
        <w:ind w:left="0"/>
        <w:jc w:val="both"/>
        <w:rPr>
          <w:rFonts w:ascii="Arial" w:hAnsi="Arial" w:cs="Arial"/>
          <w:szCs w:val="24"/>
        </w:rPr>
      </w:pPr>
      <w:r w:rsidRPr="002F2512">
        <w:rPr>
          <w:rFonts w:ascii="Arial" w:hAnsi="Arial" w:cs="Arial"/>
          <w:szCs w:val="24"/>
        </w:rPr>
        <w:t xml:space="preserve">In complying with Section 52(d) of the Local Government: Municipal Finance Management Act (MFMA), Act 56 of 2003 the </w:t>
      </w:r>
      <w:r w:rsidR="008D42DD">
        <w:rPr>
          <w:rFonts w:ascii="Arial" w:hAnsi="Arial" w:cs="Arial"/>
          <w:szCs w:val="24"/>
        </w:rPr>
        <w:t>Mayor</w:t>
      </w:r>
      <w:r w:rsidRPr="002F2512">
        <w:rPr>
          <w:rFonts w:ascii="Arial" w:hAnsi="Arial" w:cs="Arial"/>
          <w:szCs w:val="24"/>
        </w:rPr>
        <w:t xml:space="preserve"> must </w:t>
      </w:r>
      <w:r w:rsidR="00013523">
        <w:rPr>
          <w:rFonts w:ascii="Arial" w:hAnsi="Arial" w:cs="Arial"/>
          <w:szCs w:val="24"/>
        </w:rPr>
        <w:t xml:space="preserve">within </w:t>
      </w:r>
      <w:r w:rsidR="008D42DD">
        <w:rPr>
          <w:rFonts w:ascii="Arial" w:hAnsi="Arial" w:cs="Arial"/>
          <w:szCs w:val="24"/>
        </w:rPr>
        <w:t xml:space="preserve">30 </w:t>
      </w:r>
      <w:r w:rsidR="00013523">
        <w:rPr>
          <w:rFonts w:ascii="Arial" w:hAnsi="Arial" w:cs="Arial"/>
          <w:szCs w:val="24"/>
        </w:rPr>
        <w:t>days of the end of each quarter,</w:t>
      </w:r>
      <w:r w:rsidR="0034133B">
        <w:rPr>
          <w:rFonts w:ascii="Arial" w:hAnsi="Arial" w:cs="Arial"/>
          <w:szCs w:val="24"/>
        </w:rPr>
        <w:t xml:space="preserve"> submit a report to the Council</w:t>
      </w:r>
      <w:r w:rsidR="00013523">
        <w:rPr>
          <w:rFonts w:ascii="Arial" w:hAnsi="Arial" w:cs="Arial"/>
          <w:szCs w:val="24"/>
        </w:rPr>
        <w:t xml:space="preserve"> on the implementation of the budget and the financial state of affairs of the municipality and </w:t>
      </w:r>
      <w:r w:rsidRPr="002F2512">
        <w:rPr>
          <w:rFonts w:ascii="Arial" w:hAnsi="Arial" w:cs="Arial"/>
          <w:szCs w:val="24"/>
        </w:rPr>
        <w:t>assess the performance</w:t>
      </w:r>
      <w:r w:rsidR="00013523">
        <w:rPr>
          <w:rFonts w:ascii="Arial" w:hAnsi="Arial" w:cs="Arial"/>
          <w:szCs w:val="24"/>
        </w:rPr>
        <w:t xml:space="preserve"> and progress on performance</w:t>
      </w:r>
      <w:r w:rsidRPr="002F2512">
        <w:rPr>
          <w:rFonts w:ascii="Arial" w:hAnsi="Arial" w:cs="Arial"/>
          <w:szCs w:val="24"/>
        </w:rPr>
        <w:t xml:space="preserve"> of the municipality </w:t>
      </w:r>
      <w:r w:rsidR="00013523">
        <w:rPr>
          <w:rFonts w:ascii="Arial" w:hAnsi="Arial" w:cs="Arial"/>
          <w:szCs w:val="24"/>
        </w:rPr>
        <w:t>for the financial year so far</w:t>
      </w:r>
      <w:r w:rsidRPr="002F2512">
        <w:rPr>
          <w:rFonts w:ascii="Arial" w:hAnsi="Arial" w:cs="Arial"/>
          <w:szCs w:val="24"/>
        </w:rPr>
        <w:t xml:space="preserve">. </w:t>
      </w:r>
    </w:p>
    <w:p w14:paraId="52791FA2" w14:textId="77777777" w:rsidR="001A010A" w:rsidRPr="002F2512" w:rsidRDefault="001A010A" w:rsidP="001A010A">
      <w:pPr>
        <w:pStyle w:val="ListParagraph"/>
        <w:ind w:left="0"/>
        <w:jc w:val="both"/>
        <w:rPr>
          <w:rFonts w:ascii="Arial" w:hAnsi="Arial" w:cs="Arial"/>
          <w:szCs w:val="24"/>
        </w:rPr>
      </w:pPr>
    </w:p>
    <w:p w14:paraId="0BEBFB24" w14:textId="4FC85C89" w:rsidR="001A010A" w:rsidRDefault="001A010A" w:rsidP="001A010A">
      <w:pPr>
        <w:pStyle w:val="ListParagraph"/>
        <w:ind w:left="0"/>
        <w:jc w:val="both"/>
        <w:rPr>
          <w:rFonts w:ascii="Arial" w:hAnsi="Arial" w:cs="Arial"/>
          <w:szCs w:val="24"/>
        </w:rPr>
      </w:pPr>
      <w:r>
        <w:rPr>
          <w:rFonts w:ascii="Arial" w:hAnsi="Arial" w:cs="Arial"/>
          <w:szCs w:val="24"/>
        </w:rPr>
        <w:t xml:space="preserve">The Mayor approved the Top Layer SDBIP for </w:t>
      </w:r>
      <w:r w:rsidR="0034133B">
        <w:rPr>
          <w:rFonts w:ascii="Arial" w:hAnsi="Arial" w:cs="Arial"/>
          <w:szCs w:val="24"/>
        </w:rPr>
        <w:t>202</w:t>
      </w:r>
      <w:r w:rsidR="00EC4EED">
        <w:rPr>
          <w:rFonts w:ascii="Arial" w:hAnsi="Arial" w:cs="Arial"/>
          <w:szCs w:val="24"/>
        </w:rPr>
        <w:t>4</w:t>
      </w:r>
      <w:r w:rsidR="0034133B">
        <w:rPr>
          <w:rFonts w:ascii="Arial" w:hAnsi="Arial" w:cs="Arial"/>
          <w:szCs w:val="24"/>
        </w:rPr>
        <w:t>/202</w:t>
      </w:r>
      <w:r w:rsidR="00EC4EED">
        <w:rPr>
          <w:rFonts w:ascii="Arial" w:hAnsi="Arial" w:cs="Arial"/>
          <w:szCs w:val="24"/>
        </w:rPr>
        <w:t>5</w:t>
      </w:r>
      <w:r>
        <w:rPr>
          <w:rFonts w:ascii="Arial" w:hAnsi="Arial" w:cs="Arial"/>
          <w:szCs w:val="24"/>
        </w:rPr>
        <w:t xml:space="preserve"> in terms of Section 53(1)(c)(ii) of the MFMA, MFMA Circular No.13 and the Municipal Budget and Reporting Regulation which include the Municipality’s key performance indicators (KPIs) for </w:t>
      </w:r>
      <w:r w:rsidR="0034133B">
        <w:rPr>
          <w:rFonts w:ascii="Arial" w:hAnsi="Arial" w:cs="Arial"/>
          <w:szCs w:val="24"/>
        </w:rPr>
        <w:t>202</w:t>
      </w:r>
      <w:r w:rsidR="00E85CD8">
        <w:rPr>
          <w:rFonts w:ascii="Arial" w:hAnsi="Arial" w:cs="Arial"/>
          <w:szCs w:val="24"/>
        </w:rPr>
        <w:t>4</w:t>
      </w:r>
      <w:r w:rsidR="0034133B">
        <w:rPr>
          <w:rFonts w:ascii="Arial" w:hAnsi="Arial" w:cs="Arial"/>
          <w:szCs w:val="24"/>
        </w:rPr>
        <w:t>/202</w:t>
      </w:r>
      <w:r w:rsidR="00E85CD8">
        <w:rPr>
          <w:rFonts w:ascii="Arial" w:hAnsi="Arial" w:cs="Arial"/>
          <w:szCs w:val="24"/>
        </w:rPr>
        <w:t>5</w:t>
      </w:r>
      <w:r>
        <w:rPr>
          <w:rFonts w:ascii="Arial" w:hAnsi="Arial" w:cs="Arial"/>
          <w:szCs w:val="24"/>
        </w:rPr>
        <w:t>.</w:t>
      </w:r>
      <w:r w:rsidR="00013523">
        <w:rPr>
          <w:rFonts w:ascii="Arial" w:hAnsi="Arial" w:cs="Arial"/>
          <w:szCs w:val="24"/>
        </w:rPr>
        <w:t xml:space="preserve"> </w:t>
      </w:r>
    </w:p>
    <w:p w14:paraId="770E43E1" w14:textId="77777777" w:rsidR="001A010A" w:rsidRDefault="001A010A" w:rsidP="001A010A">
      <w:pPr>
        <w:pStyle w:val="ListParagraph"/>
        <w:ind w:left="0"/>
        <w:jc w:val="both"/>
        <w:rPr>
          <w:rFonts w:ascii="Arial" w:hAnsi="Arial" w:cs="Arial"/>
          <w:szCs w:val="24"/>
        </w:rPr>
      </w:pPr>
    </w:p>
    <w:p w14:paraId="3E8EA1AA" w14:textId="6A999998" w:rsidR="00013523" w:rsidRDefault="001A010A" w:rsidP="001A010A">
      <w:pPr>
        <w:pStyle w:val="ListParagraph"/>
        <w:numPr>
          <w:ilvl w:val="0"/>
          <w:numId w:val="22"/>
        </w:numPr>
        <w:tabs>
          <w:tab w:val="left" w:pos="723"/>
        </w:tabs>
        <w:spacing w:before="120" w:after="120" w:line="240" w:lineRule="auto"/>
        <w:contextualSpacing w:val="0"/>
        <w:jc w:val="both"/>
        <w:rPr>
          <w:rFonts w:ascii="Arial" w:hAnsi="Arial" w:cs="Arial"/>
          <w:sz w:val="24"/>
        </w:rPr>
      </w:pPr>
      <w:r w:rsidRPr="005B69E2">
        <w:rPr>
          <w:rFonts w:ascii="Arial" w:hAnsi="Arial" w:cs="Arial"/>
          <w:sz w:val="24"/>
        </w:rPr>
        <w:t xml:space="preserve">The purpose of this report is to inform Council regarding the progress made with the implementation of the Key Performance Indicators (KPIs) in the realisation of the development priorities and objectives as determined in the Municipality’s Integrated Development Plan (IDP) as well as in the Top Layer (TL) Service Delivery and Budget Implementation Plan (SDBIP) for the </w:t>
      </w:r>
      <w:r w:rsidR="00A3008B">
        <w:rPr>
          <w:rFonts w:ascii="Arial" w:hAnsi="Arial" w:cs="Arial"/>
          <w:b/>
          <w:sz w:val="24"/>
        </w:rPr>
        <w:t>Second</w:t>
      </w:r>
      <w:r w:rsidR="00C80F35">
        <w:rPr>
          <w:rFonts w:ascii="Arial" w:hAnsi="Arial" w:cs="Arial"/>
          <w:b/>
          <w:sz w:val="24"/>
        </w:rPr>
        <w:t xml:space="preserve"> Quarter</w:t>
      </w:r>
      <w:r w:rsidR="00C80F35">
        <w:rPr>
          <w:rFonts w:ascii="Arial" w:hAnsi="Arial" w:cs="Arial"/>
          <w:i/>
          <w:sz w:val="24"/>
        </w:rPr>
        <w:t xml:space="preserve"> </w:t>
      </w:r>
      <w:r w:rsidR="006D787A">
        <w:rPr>
          <w:rFonts w:ascii="Arial" w:hAnsi="Arial" w:cs="Arial"/>
          <w:i/>
          <w:sz w:val="24"/>
        </w:rPr>
        <w:t>(</w:t>
      </w:r>
      <w:r w:rsidR="00C80F35">
        <w:rPr>
          <w:rFonts w:ascii="Arial" w:hAnsi="Arial" w:cs="Arial"/>
          <w:i/>
          <w:sz w:val="24"/>
        </w:rPr>
        <w:t>0</w:t>
      </w:r>
      <w:r w:rsidR="00EC4EED">
        <w:rPr>
          <w:rFonts w:ascii="Arial" w:hAnsi="Arial" w:cs="Arial"/>
          <w:i/>
          <w:sz w:val="24"/>
        </w:rPr>
        <w:t xml:space="preserve">1 </w:t>
      </w:r>
      <w:r w:rsidR="00A3008B">
        <w:rPr>
          <w:rFonts w:ascii="Arial" w:hAnsi="Arial" w:cs="Arial"/>
          <w:i/>
          <w:sz w:val="24"/>
        </w:rPr>
        <w:t>Oct</w:t>
      </w:r>
      <w:r w:rsidR="00EC4EED">
        <w:rPr>
          <w:rFonts w:ascii="Arial" w:hAnsi="Arial" w:cs="Arial"/>
          <w:i/>
          <w:sz w:val="24"/>
        </w:rPr>
        <w:t xml:space="preserve"> 2024</w:t>
      </w:r>
      <w:r w:rsidR="00C80F35">
        <w:rPr>
          <w:rFonts w:ascii="Arial" w:hAnsi="Arial" w:cs="Arial"/>
          <w:i/>
          <w:sz w:val="24"/>
        </w:rPr>
        <w:t xml:space="preserve"> – 3</w:t>
      </w:r>
      <w:r w:rsidR="00A3008B">
        <w:rPr>
          <w:rFonts w:ascii="Arial" w:hAnsi="Arial" w:cs="Arial"/>
          <w:i/>
          <w:sz w:val="24"/>
        </w:rPr>
        <w:t>1 December</w:t>
      </w:r>
      <w:r w:rsidR="00C80F35">
        <w:rPr>
          <w:rFonts w:ascii="Arial" w:hAnsi="Arial" w:cs="Arial"/>
          <w:i/>
          <w:sz w:val="24"/>
        </w:rPr>
        <w:t xml:space="preserve"> 2024</w:t>
      </w:r>
      <w:r w:rsidRPr="005B69E2">
        <w:rPr>
          <w:rFonts w:ascii="Arial" w:hAnsi="Arial" w:cs="Arial"/>
          <w:i/>
          <w:sz w:val="24"/>
        </w:rPr>
        <w:t>)</w:t>
      </w:r>
      <w:r w:rsidRPr="005B69E2">
        <w:rPr>
          <w:rFonts w:ascii="Arial" w:hAnsi="Arial" w:cs="Arial"/>
          <w:sz w:val="24"/>
        </w:rPr>
        <w:t xml:space="preserve"> of the </w:t>
      </w:r>
      <w:r w:rsidR="0034133B">
        <w:rPr>
          <w:rFonts w:ascii="Arial" w:hAnsi="Arial" w:cs="Arial"/>
          <w:sz w:val="24"/>
        </w:rPr>
        <w:t>202</w:t>
      </w:r>
      <w:r w:rsidR="00EC4EED">
        <w:rPr>
          <w:rFonts w:ascii="Arial" w:hAnsi="Arial" w:cs="Arial"/>
          <w:sz w:val="24"/>
        </w:rPr>
        <w:t>4</w:t>
      </w:r>
      <w:r w:rsidR="0034133B">
        <w:rPr>
          <w:rFonts w:ascii="Arial" w:hAnsi="Arial" w:cs="Arial"/>
          <w:sz w:val="24"/>
        </w:rPr>
        <w:t>/202</w:t>
      </w:r>
      <w:r w:rsidR="00EC4EED">
        <w:rPr>
          <w:rFonts w:ascii="Arial" w:hAnsi="Arial" w:cs="Arial"/>
          <w:sz w:val="24"/>
        </w:rPr>
        <w:t>5</w:t>
      </w:r>
      <w:r>
        <w:rPr>
          <w:rFonts w:ascii="Arial" w:hAnsi="Arial" w:cs="Arial"/>
          <w:sz w:val="24"/>
        </w:rPr>
        <w:t xml:space="preserve"> financial year as approved by the Mayor</w:t>
      </w:r>
      <w:r w:rsidR="003335A5">
        <w:rPr>
          <w:rFonts w:ascii="Arial" w:hAnsi="Arial" w:cs="Arial"/>
          <w:sz w:val="24"/>
        </w:rPr>
        <w:t>.</w:t>
      </w:r>
    </w:p>
    <w:p w14:paraId="794F0A97" w14:textId="1702C9FE" w:rsidR="001A010A" w:rsidRDefault="0034133B" w:rsidP="001A010A">
      <w:pPr>
        <w:pStyle w:val="ListParagraph"/>
        <w:numPr>
          <w:ilvl w:val="0"/>
          <w:numId w:val="22"/>
        </w:numPr>
        <w:tabs>
          <w:tab w:val="left" w:pos="723"/>
        </w:tabs>
        <w:spacing w:before="120" w:after="120" w:line="240" w:lineRule="auto"/>
        <w:contextualSpacing w:val="0"/>
        <w:jc w:val="both"/>
        <w:rPr>
          <w:rFonts w:ascii="Arial" w:hAnsi="Arial" w:cs="Arial"/>
          <w:sz w:val="24"/>
        </w:rPr>
      </w:pPr>
      <w:r>
        <w:rPr>
          <w:rFonts w:ascii="Arial" w:hAnsi="Arial" w:cs="Arial"/>
          <w:sz w:val="24"/>
        </w:rPr>
        <w:t xml:space="preserve">Overall </w:t>
      </w:r>
      <w:r w:rsidR="00114766">
        <w:rPr>
          <w:rFonts w:ascii="Arial" w:hAnsi="Arial" w:cs="Arial"/>
          <w:sz w:val="24"/>
        </w:rPr>
        <w:t>progress will be assessed to see whether corrective measures need to be implemented.</w:t>
      </w:r>
      <w:r w:rsidR="001A010A">
        <w:rPr>
          <w:rFonts w:ascii="Arial" w:hAnsi="Arial" w:cs="Arial"/>
          <w:sz w:val="24"/>
        </w:rPr>
        <w:t xml:space="preserve"> </w:t>
      </w:r>
    </w:p>
    <w:p w14:paraId="2052F780" w14:textId="3BFA12A7" w:rsidR="001A010A" w:rsidRDefault="001A010A" w:rsidP="008C2710">
      <w:pPr>
        <w:pStyle w:val="ListParagraph"/>
        <w:numPr>
          <w:ilvl w:val="0"/>
          <w:numId w:val="22"/>
        </w:numPr>
        <w:tabs>
          <w:tab w:val="left" w:pos="723"/>
        </w:tabs>
        <w:spacing w:before="120" w:after="120" w:line="240" w:lineRule="auto"/>
        <w:contextualSpacing w:val="0"/>
        <w:jc w:val="both"/>
        <w:rPr>
          <w:rFonts w:ascii="Arial" w:hAnsi="Arial" w:cs="Arial"/>
          <w:sz w:val="24"/>
        </w:rPr>
      </w:pPr>
      <w:r>
        <w:rPr>
          <w:rFonts w:ascii="Arial" w:hAnsi="Arial" w:cs="Arial"/>
          <w:sz w:val="24"/>
        </w:rPr>
        <w:t xml:space="preserve">The Municipal Systems Act, No 32 of 2000 and in particular chapter 5 and 6 of the aforesaid Act, the Municipal Planning and Performance Management regulations  2001 and other current legislation, compel all municipalities as part of their developmental mandate, to develop and implement a performance management system. </w:t>
      </w:r>
    </w:p>
    <w:p w14:paraId="3A002A3C" w14:textId="77777777" w:rsidR="008C2710" w:rsidRPr="008C2710" w:rsidRDefault="008C2710" w:rsidP="008C2710">
      <w:pPr>
        <w:pStyle w:val="ListParagraph"/>
        <w:tabs>
          <w:tab w:val="left" w:pos="723"/>
        </w:tabs>
        <w:spacing w:before="120" w:after="120" w:line="240" w:lineRule="auto"/>
        <w:contextualSpacing w:val="0"/>
        <w:jc w:val="both"/>
        <w:rPr>
          <w:rFonts w:ascii="Arial" w:hAnsi="Arial" w:cs="Arial"/>
          <w:sz w:val="24"/>
        </w:rPr>
      </w:pPr>
    </w:p>
    <w:p w14:paraId="111C83B9" w14:textId="3217C0D3" w:rsidR="008C2710" w:rsidRPr="008C2710" w:rsidRDefault="001A010A" w:rsidP="008C2710">
      <w:pPr>
        <w:pStyle w:val="Heading3"/>
      </w:pPr>
      <w:bookmarkStart w:id="10" w:name="_Toc62745434"/>
      <w:bookmarkStart w:id="11" w:name="_Toc180746330"/>
      <w:r w:rsidRPr="002F2512">
        <w:t>FINANCIAL</w:t>
      </w:r>
      <w:r>
        <w:t>/BUDGET</w:t>
      </w:r>
      <w:r w:rsidRPr="003B7623">
        <w:t xml:space="preserve"> </w:t>
      </w:r>
      <w:r w:rsidRPr="002F2512">
        <w:t>PERFORMANCE</w:t>
      </w:r>
      <w:bookmarkEnd w:id="10"/>
      <w:bookmarkEnd w:id="11"/>
    </w:p>
    <w:p w14:paraId="3542EC6E" w14:textId="77777777" w:rsidR="008C2710" w:rsidRDefault="008C2710" w:rsidP="008C2710">
      <w:pPr>
        <w:ind w:left="360"/>
        <w:rPr>
          <w:rFonts w:ascii="Arial" w:hAnsi="Arial" w:cs="Arial"/>
          <w:sz w:val="24"/>
          <w:szCs w:val="24"/>
        </w:rPr>
      </w:pPr>
    </w:p>
    <w:p w14:paraId="0F3FDECC" w14:textId="74D89E6F" w:rsidR="001A010A" w:rsidRDefault="001A010A" w:rsidP="008C2710">
      <w:pPr>
        <w:ind w:left="360"/>
        <w:rPr>
          <w:rFonts w:ascii="Arial" w:hAnsi="Arial" w:cs="Arial"/>
          <w:i/>
          <w:sz w:val="24"/>
          <w:szCs w:val="24"/>
        </w:rPr>
      </w:pPr>
      <w:r>
        <w:rPr>
          <w:rFonts w:ascii="Arial" w:hAnsi="Arial" w:cs="Arial"/>
          <w:sz w:val="24"/>
          <w:szCs w:val="24"/>
        </w:rPr>
        <w:t xml:space="preserve">A report setting out the </w:t>
      </w:r>
      <w:r w:rsidR="00114766">
        <w:rPr>
          <w:rFonts w:ascii="Arial" w:hAnsi="Arial" w:cs="Arial"/>
          <w:sz w:val="24"/>
          <w:szCs w:val="24"/>
        </w:rPr>
        <w:t>quarter’s</w:t>
      </w:r>
      <w:r>
        <w:rPr>
          <w:rFonts w:ascii="Arial" w:hAnsi="Arial" w:cs="Arial"/>
          <w:sz w:val="24"/>
          <w:szCs w:val="24"/>
        </w:rPr>
        <w:t xml:space="preserve"> budgetary achievements will be submitted by the Chief Financial Officer in due course but within the stipulated time frame</w:t>
      </w:r>
      <w:r w:rsidR="00114766">
        <w:rPr>
          <w:rFonts w:ascii="Arial" w:hAnsi="Arial" w:cs="Arial"/>
          <w:i/>
          <w:sz w:val="24"/>
          <w:szCs w:val="24"/>
        </w:rPr>
        <w:t>.</w:t>
      </w:r>
    </w:p>
    <w:p w14:paraId="1B55CCE0" w14:textId="77777777" w:rsidR="008C2710" w:rsidRPr="008C2710" w:rsidRDefault="008C2710" w:rsidP="008C2710">
      <w:pPr>
        <w:ind w:left="360"/>
        <w:rPr>
          <w:rFonts w:ascii="Arial" w:hAnsi="Arial" w:cs="Arial"/>
          <w:i/>
          <w:sz w:val="24"/>
          <w:szCs w:val="24"/>
        </w:rPr>
      </w:pPr>
    </w:p>
    <w:p w14:paraId="21BC64DD" w14:textId="69595FBE" w:rsidR="004D44A9" w:rsidRPr="00312C74" w:rsidRDefault="00312C74" w:rsidP="0031371B">
      <w:pPr>
        <w:pStyle w:val="Heading2"/>
        <w:numPr>
          <w:ilvl w:val="0"/>
          <w:numId w:val="34"/>
        </w:numPr>
        <w:ind w:hanging="810"/>
      </w:pPr>
      <w:bookmarkStart w:id="12" w:name="_Toc180746331"/>
      <w:r w:rsidRPr="00312C74">
        <w:t>LEGISLATIVE REQUIREMENTS</w:t>
      </w:r>
      <w:bookmarkEnd w:id="12"/>
    </w:p>
    <w:p w14:paraId="2BAACDAA" w14:textId="77777777" w:rsidR="004D44A9" w:rsidRPr="00312C74" w:rsidRDefault="004D44A9" w:rsidP="004D44A9">
      <w:pPr>
        <w:pStyle w:val="ListParagraph"/>
        <w:numPr>
          <w:ilvl w:val="0"/>
          <w:numId w:val="23"/>
        </w:numPr>
        <w:tabs>
          <w:tab w:val="left" w:pos="703"/>
        </w:tabs>
        <w:spacing w:after="0" w:line="253" w:lineRule="auto"/>
        <w:ind w:left="720" w:hanging="450"/>
        <w:jc w:val="both"/>
        <w:rPr>
          <w:rFonts w:ascii="Arial" w:hAnsi="Arial" w:cs="Arial"/>
          <w:szCs w:val="24"/>
        </w:rPr>
      </w:pPr>
      <w:r w:rsidRPr="00312C74">
        <w:rPr>
          <w:rFonts w:ascii="Arial" w:hAnsi="Arial" w:cs="Arial"/>
          <w:szCs w:val="24"/>
        </w:rPr>
        <w:t>The SDBIP is defined in terms of Section 1 of the Local Government: Municipal Finance Management Act, 56 (Act 56 of 2003) (MFMA), and the format of the SDBIP is prescribed by the MFMA Circular 13.</w:t>
      </w:r>
    </w:p>
    <w:p w14:paraId="52A0C09C" w14:textId="77777777" w:rsidR="004D44A9" w:rsidRPr="00312C74" w:rsidRDefault="004D44A9" w:rsidP="004D44A9">
      <w:pPr>
        <w:spacing w:line="286" w:lineRule="exact"/>
        <w:ind w:left="720" w:hanging="450"/>
        <w:jc w:val="both"/>
        <w:rPr>
          <w:rFonts w:ascii="Arial" w:hAnsi="Arial" w:cs="Arial"/>
          <w:szCs w:val="24"/>
        </w:rPr>
      </w:pPr>
    </w:p>
    <w:p w14:paraId="7C09EFF1" w14:textId="77777777" w:rsidR="004D44A9" w:rsidRDefault="004D44A9" w:rsidP="004D44A9">
      <w:pPr>
        <w:pStyle w:val="ListParagraph"/>
        <w:numPr>
          <w:ilvl w:val="0"/>
          <w:numId w:val="23"/>
        </w:numPr>
        <w:tabs>
          <w:tab w:val="left" w:pos="703"/>
        </w:tabs>
        <w:spacing w:after="0" w:line="235" w:lineRule="auto"/>
        <w:ind w:left="720" w:hanging="450"/>
        <w:jc w:val="both"/>
        <w:rPr>
          <w:rFonts w:ascii="Arial" w:hAnsi="Arial" w:cs="Arial"/>
          <w:szCs w:val="24"/>
        </w:rPr>
      </w:pPr>
      <w:r w:rsidRPr="00312C74">
        <w:rPr>
          <w:rFonts w:ascii="Arial" w:hAnsi="Arial" w:cs="Arial"/>
          <w:szCs w:val="24"/>
        </w:rPr>
        <w:t>Section 41(1)(e) of the Local Government: Municipal Systems Act, 32 (Act 32 of 2000) (MSA), prescribes that a process must be established of regular reporting to Council. The process of reporting is detailed in the Performance Management Policy and Framework of the municipality.</w:t>
      </w:r>
    </w:p>
    <w:p w14:paraId="2446F780" w14:textId="77777777" w:rsidR="004D44A9" w:rsidRPr="00312C74" w:rsidRDefault="004D44A9" w:rsidP="006D787A">
      <w:pPr>
        <w:spacing w:line="246" w:lineRule="exact"/>
        <w:jc w:val="both"/>
        <w:rPr>
          <w:rFonts w:ascii="Arial" w:hAnsi="Arial" w:cs="Arial"/>
          <w:szCs w:val="24"/>
        </w:rPr>
      </w:pPr>
    </w:p>
    <w:p w14:paraId="38E46B9F" w14:textId="079FD85F" w:rsidR="001A010A" w:rsidRPr="00346A95" w:rsidRDefault="001A010A" w:rsidP="001A010A">
      <w:pPr>
        <w:pStyle w:val="ListParagraph"/>
        <w:numPr>
          <w:ilvl w:val="0"/>
          <w:numId w:val="23"/>
        </w:numPr>
        <w:tabs>
          <w:tab w:val="left" w:pos="703"/>
        </w:tabs>
        <w:spacing w:after="0" w:line="0" w:lineRule="atLeast"/>
        <w:ind w:left="720" w:hanging="450"/>
        <w:jc w:val="both"/>
        <w:rPr>
          <w:rFonts w:ascii="Arial" w:hAnsi="Arial" w:cs="Arial"/>
          <w:sz w:val="24"/>
          <w:szCs w:val="24"/>
        </w:rPr>
      </w:pPr>
      <w:r>
        <w:rPr>
          <w:rFonts w:ascii="Arial" w:hAnsi="Arial" w:cs="Arial"/>
          <w:sz w:val="24"/>
          <w:szCs w:val="24"/>
        </w:rPr>
        <w:t xml:space="preserve">The </w:t>
      </w:r>
      <w:r w:rsidRPr="00465D50">
        <w:rPr>
          <w:rFonts w:ascii="Arial" w:hAnsi="Arial" w:cs="Arial"/>
          <w:b/>
          <w:sz w:val="24"/>
          <w:szCs w:val="24"/>
        </w:rPr>
        <w:t>quarterly reports</w:t>
      </w:r>
      <w:r w:rsidR="003335A5">
        <w:rPr>
          <w:rFonts w:ascii="Arial" w:hAnsi="Arial" w:cs="Arial"/>
          <w:b/>
          <w:sz w:val="24"/>
          <w:szCs w:val="24"/>
        </w:rPr>
        <w:t xml:space="preserve"> &amp; Mid-year reports</w:t>
      </w:r>
      <w:r>
        <w:rPr>
          <w:rFonts w:ascii="Arial" w:hAnsi="Arial" w:cs="Arial"/>
          <w:sz w:val="24"/>
          <w:szCs w:val="24"/>
        </w:rPr>
        <w:t xml:space="preserve"> are</w:t>
      </w:r>
      <w:r w:rsidRPr="00346A95">
        <w:rPr>
          <w:rFonts w:ascii="Arial" w:hAnsi="Arial" w:cs="Arial"/>
          <w:sz w:val="24"/>
          <w:szCs w:val="24"/>
        </w:rPr>
        <w:t xml:space="preserve"> a requirement in terms of Section 52 of the MFMA which provide for:</w:t>
      </w:r>
    </w:p>
    <w:p w14:paraId="5B092B70" w14:textId="77777777" w:rsidR="004D44A9" w:rsidRPr="00312C74" w:rsidRDefault="004D44A9" w:rsidP="004D44A9">
      <w:pPr>
        <w:tabs>
          <w:tab w:val="left" w:pos="1423"/>
        </w:tabs>
        <w:spacing w:after="0" w:line="248" w:lineRule="auto"/>
        <w:ind w:left="720" w:hanging="450"/>
        <w:jc w:val="both"/>
        <w:rPr>
          <w:rFonts w:ascii="Arial" w:hAnsi="Arial" w:cs="Arial"/>
          <w:szCs w:val="24"/>
        </w:rPr>
      </w:pPr>
    </w:p>
    <w:p w14:paraId="09D45383" w14:textId="77777777" w:rsidR="004D44A9" w:rsidRPr="00312C74" w:rsidRDefault="004D44A9" w:rsidP="004D44A9">
      <w:pPr>
        <w:pStyle w:val="ListParagraph"/>
        <w:numPr>
          <w:ilvl w:val="0"/>
          <w:numId w:val="24"/>
        </w:numPr>
        <w:tabs>
          <w:tab w:val="left" w:pos="1423"/>
        </w:tabs>
        <w:spacing w:after="0" w:line="248" w:lineRule="auto"/>
        <w:ind w:left="720" w:hanging="450"/>
        <w:jc w:val="both"/>
        <w:rPr>
          <w:rFonts w:ascii="Arial" w:eastAsia="Symbol" w:hAnsi="Arial" w:cs="Arial"/>
          <w:szCs w:val="24"/>
        </w:rPr>
      </w:pPr>
      <w:r w:rsidRPr="00312C74">
        <w:rPr>
          <w:rFonts w:ascii="Arial" w:hAnsi="Arial" w:cs="Arial"/>
          <w:szCs w:val="24"/>
        </w:rPr>
        <w:t xml:space="preserve">The Mayor, to submit to council within </w:t>
      </w:r>
      <w:r w:rsidRPr="00123E1E">
        <w:rPr>
          <w:rFonts w:ascii="Arial" w:hAnsi="Arial" w:cs="Arial"/>
          <w:szCs w:val="24"/>
          <w:u w:val="single"/>
        </w:rPr>
        <w:t>30 days</w:t>
      </w:r>
      <w:r w:rsidRPr="00312C74">
        <w:rPr>
          <w:rFonts w:ascii="Arial" w:hAnsi="Arial" w:cs="Arial"/>
          <w:szCs w:val="24"/>
        </w:rPr>
        <w:t xml:space="preserve"> of the end of each quarter, a report on the implementation of the budget and financial affairs of the municipality;</w:t>
      </w:r>
    </w:p>
    <w:p w14:paraId="31948AAE" w14:textId="77777777" w:rsidR="004D44A9" w:rsidRPr="00312C74" w:rsidRDefault="004D44A9" w:rsidP="004D44A9">
      <w:pPr>
        <w:pStyle w:val="ListParagraph"/>
        <w:numPr>
          <w:ilvl w:val="0"/>
          <w:numId w:val="24"/>
        </w:numPr>
        <w:ind w:left="720" w:hanging="450"/>
        <w:jc w:val="both"/>
        <w:rPr>
          <w:rFonts w:ascii="Arial" w:eastAsia="Symbol" w:hAnsi="Arial" w:cs="Arial"/>
          <w:szCs w:val="24"/>
        </w:rPr>
      </w:pPr>
      <w:r w:rsidRPr="00312C74">
        <w:rPr>
          <w:rFonts w:ascii="Arial" w:eastAsia="Symbol" w:hAnsi="Arial" w:cs="Arial"/>
          <w:szCs w:val="24"/>
        </w:rPr>
        <w:t>The Accounting Officer, while conducting the above, must consider the:</w:t>
      </w:r>
    </w:p>
    <w:p w14:paraId="2A98F0A1" w14:textId="77777777" w:rsidR="004D44A9" w:rsidRPr="00312C74" w:rsidRDefault="004D44A9" w:rsidP="004D44A9">
      <w:pPr>
        <w:pStyle w:val="ListParagraph"/>
        <w:tabs>
          <w:tab w:val="left" w:pos="1423"/>
        </w:tabs>
        <w:spacing w:after="0" w:line="248" w:lineRule="auto"/>
        <w:ind w:hanging="450"/>
        <w:jc w:val="both"/>
        <w:rPr>
          <w:rFonts w:ascii="Arial" w:eastAsia="Symbol" w:hAnsi="Arial" w:cs="Arial"/>
          <w:szCs w:val="24"/>
        </w:rPr>
      </w:pPr>
    </w:p>
    <w:p w14:paraId="48542BE7" w14:textId="77777777" w:rsidR="004D44A9" w:rsidRPr="00312C74" w:rsidRDefault="004D44A9" w:rsidP="004D44A9">
      <w:pPr>
        <w:pStyle w:val="ListParagraph"/>
        <w:numPr>
          <w:ilvl w:val="0"/>
          <w:numId w:val="25"/>
        </w:numPr>
        <w:tabs>
          <w:tab w:val="left" w:pos="1423"/>
        </w:tabs>
        <w:spacing w:after="0" w:line="248" w:lineRule="auto"/>
        <w:ind w:left="1440" w:hanging="720"/>
        <w:jc w:val="both"/>
        <w:rPr>
          <w:rFonts w:ascii="Arial" w:eastAsia="Symbol" w:hAnsi="Arial" w:cs="Arial"/>
          <w:szCs w:val="24"/>
        </w:rPr>
      </w:pPr>
      <w:r w:rsidRPr="00312C74">
        <w:rPr>
          <w:rFonts w:ascii="Arial" w:eastAsia="Symbol" w:hAnsi="Arial" w:cs="Arial"/>
          <w:szCs w:val="24"/>
        </w:rPr>
        <w:t>Section 71 Reports;</w:t>
      </w:r>
    </w:p>
    <w:p w14:paraId="60250778" w14:textId="77777777" w:rsidR="004D44A9" w:rsidRPr="00312C74" w:rsidRDefault="004D44A9" w:rsidP="004D44A9">
      <w:pPr>
        <w:pStyle w:val="ListParagraph"/>
        <w:numPr>
          <w:ilvl w:val="0"/>
          <w:numId w:val="25"/>
        </w:numPr>
        <w:tabs>
          <w:tab w:val="left" w:pos="1423"/>
        </w:tabs>
        <w:spacing w:after="0" w:line="248" w:lineRule="auto"/>
        <w:ind w:left="1440" w:hanging="720"/>
        <w:jc w:val="both"/>
        <w:rPr>
          <w:rFonts w:ascii="Arial" w:eastAsia="Symbol" w:hAnsi="Arial" w:cs="Arial"/>
          <w:szCs w:val="24"/>
        </w:rPr>
      </w:pPr>
      <w:r w:rsidRPr="00312C74">
        <w:rPr>
          <w:rFonts w:ascii="Arial" w:eastAsia="Symbol" w:hAnsi="Arial" w:cs="Arial"/>
          <w:szCs w:val="24"/>
        </w:rPr>
        <w:t>Performance in line with the Service Delivery and Budget Implementation Plans.</w:t>
      </w:r>
    </w:p>
    <w:p w14:paraId="1D3E7D24" w14:textId="77777777" w:rsidR="00F87279" w:rsidRPr="00312C74" w:rsidRDefault="00F87279">
      <w:pPr>
        <w:rPr>
          <w:rFonts w:ascii="Arial" w:hAnsi="Arial" w:cs="Arial"/>
        </w:rPr>
      </w:pPr>
    </w:p>
    <w:p w14:paraId="19E65982" w14:textId="77777777" w:rsidR="004D44A9" w:rsidRPr="00312C74" w:rsidRDefault="004D44A9">
      <w:pPr>
        <w:rPr>
          <w:rFonts w:ascii="Arial" w:hAnsi="Arial" w:cs="Arial"/>
        </w:rPr>
      </w:pPr>
    </w:p>
    <w:p w14:paraId="35048F18" w14:textId="77777777" w:rsidR="004D44A9" w:rsidRPr="00312C74" w:rsidRDefault="004D44A9">
      <w:pPr>
        <w:rPr>
          <w:rFonts w:ascii="Arial" w:hAnsi="Arial" w:cs="Arial"/>
        </w:rPr>
      </w:pPr>
    </w:p>
    <w:p w14:paraId="0AF24E69" w14:textId="24BAE54D" w:rsidR="00312C74" w:rsidRDefault="00312C74">
      <w:pPr>
        <w:rPr>
          <w:rFonts w:ascii="Arial" w:hAnsi="Arial" w:cs="Arial"/>
        </w:rPr>
      </w:pPr>
      <w:r>
        <w:rPr>
          <w:rFonts w:ascii="Arial" w:hAnsi="Arial" w:cs="Arial"/>
        </w:rPr>
        <w:br w:type="page"/>
      </w:r>
    </w:p>
    <w:p w14:paraId="19624380" w14:textId="4EE21554" w:rsidR="004D44A9" w:rsidRDefault="00312C74" w:rsidP="0031371B">
      <w:pPr>
        <w:pStyle w:val="Heading2"/>
        <w:numPr>
          <w:ilvl w:val="0"/>
          <w:numId w:val="34"/>
        </w:numPr>
        <w:ind w:hanging="810"/>
      </w:pPr>
      <w:bookmarkStart w:id="13" w:name="_Toc180746332"/>
      <w:r w:rsidRPr="00312C74">
        <w:t>BACKGROUND TO THE FORMAT AND MONITORING OF THE SDBIP</w:t>
      </w:r>
      <w:bookmarkEnd w:id="13"/>
    </w:p>
    <w:p w14:paraId="74C09F9B" w14:textId="77777777" w:rsidR="008126A8" w:rsidRPr="00114766" w:rsidRDefault="008126A8" w:rsidP="008126A8">
      <w:pPr>
        <w:rPr>
          <w:sz w:val="6"/>
          <w:lang w:eastAsia="en-ZA"/>
        </w:rPr>
      </w:pPr>
    </w:p>
    <w:p w14:paraId="1CB7F798" w14:textId="58A2467A" w:rsidR="008126A8" w:rsidRPr="008126A8" w:rsidRDefault="008126A8" w:rsidP="00080DA7">
      <w:pPr>
        <w:pStyle w:val="Heading3"/>
        <w:rPr>
          <w:lang w:eastAsia="en-ZA"/>
        </w:rPr>
      </w:pPr>
      <w:bookmarkStart w:id="14" w:name="_Toc180746333"/>
      <w:r>
        <w:rPr>
          <w:lang w:eastAsia="en-ZA"/>
        </w:rPr>
        <w:t>FORMAT</w:t>
      </w:r>
      <w:bookmarkEnd w:id="14"/>
    </w:p>
    <w:p w14:paraId="0CB6B896" w14:textId="44B50E35" w:rsidR="004D44A9" w:rsidRPr="00BB73BF" w:rsidRDefault="004D44A9" w:rsidP="00312C74">
      <w:pPr>
        <w:pStyle w:val="ListParagraph"/>
        <w:numPr>
          <w:ilvl w:val="0"/>
          <w:numId w:val="30"/>
        </w:numPr>
        <w:spacing w:before="120" w:after="120"/>
        <w:ind w:left="360"/>
        <w:jc w:val="both"/>
        <w:rPr>
          <w:rFonts w:ascii="Arial" w:eastAsia="Symbol" w:hAnsi="Arial" w:cs="Arial"/>
          <w:sz w:val="20"/>
          <w:szCs w:val="24"/>
        </w:rPr>
      </w:pPr>
      <w:r w:rsidRPr="00BB73BF">
        <w:rPr>
          <w:rFonts w:ascii="Arial" w:eastAsia="Symbol" w:hAnsi="Arial" w:cs="Arial"/>
          <w:sz w:val="20"/>
          <w:szCs w:val="24"/>
        </w:rPr>
        <w:t>The Municipality’s SDBIP consists of a Top Layer (TL) as well as a Departmental</w:t>
      </w:r>
      <w:r w:rsidR="00114766" w:rsidRPr="00BB73BF">
        <w:rPr>
          <w:rFonts w:ascii="Arial" w:eastAsia="Symbol" w:hAnsi="Arial" w:cs="Arial"/>
          <w:sz w:val="20"/>
          <w:szCs w:val="24"/>
        </w:rPr>
        <w:t>/Operational</w:t>
      </w:r>
      <w:r w:rsidRPr="00BB73BF">
        <w:rPr>
          <w:rFonts w:ascii="Arial" w:eastAsia="Symbol" w:hAnsi="Arial" w:cs="Arial"/>
          <w:sz w:val="20"/>
          <w:szCs w:val="24"/>
        </w:rPr>
        <w:t xml:space="preserve"> Plan for each individual Department.</w:t>
      </w:r>
    </w:p>
    <w:p w14:paraId="58D40CEF" w14:textId="60D7FA0D" w:rsidR="004D44A9" w:rsidRPr="00114766" w:rsidRDefault="004D44A9" w:rsidP="00312C74">
      <w:pPr>
        <w:pStyle w:val="ListParagraph"/>
        <w:numPr>
          <w:ilvl w:val="0"/>
          <w:numId w:val="30"/>
        </w:numPr>
        <w:spacing w:before="120" w:after="120"/>
        <w:ind w:left="360"/>
        <w:jc w:val="both"/>
        <w:rPr>
          <w:rFonts w:ascii="Arial" w:eastAsia="Symbol" w:hAnsi="Arial" w:cs="Arial"/>
          <w:szCs w:val="24"/>
        </w:rPr>
      </w:pPr>
      <w:r w:rsidRPr="00114766">
        <w:rPr>
          <w:rFonts w:ascii="Arial" w:eastAsia="Symbol" w:hAnsi="Arial" w:cs="Arial"/>
          <w:szCs w:val="24"/>
        </w:rPr>
        <w:t xml:space="preserve">The Top Layer SDBIP measures the achievement of performance indicators and targets that have been determined with regards to the provision of basic services (operational services delivery) as prescribed by Section 10 of the Local Government: Municipal Planning and Performance Regulations of 2001, National Key Performance Areas and Strategic Objectives as detailed in the Integrated Development Plan (IDP) of Karoo Hoogland Municipality. The Top Layer SDBIP </w:t>
      </w:r>
      <w:r w:rsidR="0034133B">
        <w:rPr>
          <w:rFonts w:ascii="Arial" w:eastAsia="Symbol" w:hAnsi="Arial" w:cs="Arial"/>
          <w:szCs w:val="24"/>
        </w:rPr>
        <w:t>202</w:t>
      </w:r>
      <w:r w:rsidR="00EC4EED">
        <w:rPr>
          <w:rFonts w:ascii="Arial" w:eastAsia="Symbol" w:hAnsi="Arial" w:cs="Arial"/>
          <w:szCs w:val="24"/>
        </w:rPr>
        <w:t>4</w:t>
      </w:r>
      <w:r w:rsidR="0034133B">
        <w:rPr>
          <w:rFonts w:ascii="Arial" w:eastAsia="Symbol" w:hAnsi="Arial" w:cs="Arial"/>
          <w:szCs w:val="24"/>
        </w:rPr>
        <w:t>/202</w:t>
      </w:r>
      <w:r w:rsidR="00EC4EED">
        <w:rPr>
          <w:rFonts w:ascii="Arial" w:eastAsia="Symbol" w:hAnsi="Arial" w:cs="Arial"/>
          <w:szCs w:val="24"/>
        </w:rPr>
        <w:t>5</w:t>
      </w:r>
      <w:r w:rsidRPr="00114766">
        <w:rPr>
          <w:rFonts w:ascii="Arial" w:eastAsia="Symbol" w:hAnsi="Arial" w:cs="Arial"/>
          <w:szCs w:val="24"/>
        </w:rPr>
        <w:t xml:space="preserve"> was approved by the Mayor</w:t>
      </w:r>
      <w:r w:rsidR="003335A5">
        <w:rPr>
          <w:rFonts w:ascii="Arial" w:eastAsia="Symbol" w:hAnsi="Arial" w:cs="Arial"/>
          <w:szCs w:val="24"/>
        </w:rPr>
        <w:t>.</w:t>
      </w:r>
    </w:p>
    <w:p w14:paraId="5A0120BD" w14:textId="62680BC1" w:rsidR="004D44A9" w:rsidRPr="00BB73BF" w:rsidRDefault="004D44A9" w:rsidP="00312C74">
      <w:pPr>
        <w:pStyle w:val="ListParagraph"/>
        <w:numPr>
          <w:ilvl w:val="0"/>
          <w:numId w:val="30"/>
        </w:numPr>
        <w:spacing w:before="120" w:after="120"/>
        <w:ind w:left="360"/>
        <w:jc w:val="both"/>
        <w:rPr>
          <w:rFonts w:ascii="Arial" w:eastAsia="Symbol" w:hAnsi="Arial" w:cs="Arial"/>
          <w:sz w:val="20"/>
          <w:szCs w:val="24"/>
        </w:rPr>
      </w:pPr>
      <w:r w:rsidRPr="00BB73BF">
        <w:rPr>
          <w:rFonts w:ascii="Arial" w:eastAsia="Symbol" w:hAnsi="Arial" w:cs="Arial"/>
          <w:sz w:val="20"/>
          <w:szCs w:val="24"/>
        </w:rPr>
        <w:t>The Departmental</w:t>
      </w:r>
      <w:r w:rsidR="00114766" w:rsidRPr="00BB73BF">
        <w:rPr>
          <w:rFonts w:ascii="Arial" w:eastAsia="Symbol" w:hAnsi="Arial" w:cs="Arial"/>
          <w:sz w:val="20"/>
          <w:szCs w:val="24"/>
        </w:rPr>
        <w:t>/Operational</w:t>
      </w:r>
      <w:r w:rsidRPr="00BB73BF">
        <w:rPr>
          <w:rFonts w:ascii="Arial" w:eastAsia="Symbol" w:hAnsi="Arial" w:cs="Arial"/>
          <w:sz w:val="20"/>
          <w:szCs w:val="24"/>
        </w:rPr>
        <w:t xml:space="preserve"> SDBIP measures the achievement of performance indicators that have been determined regarding operational service delivery within each department and have been aligned with the Top Layer SDBIP. The Departmental Plans have been approved by the Municipal Manager.</w:t>
      </w:r>
    </w:p>
    <w:p w14:paraId="55EAB2EE" w14:textId="4948F855" w:rsidR="00312C74" w:rsidRPr="00BB73BF" w:rsidRDefault="004D44A9" w:rsidP="00312C74">
      <w:pPr>
        <w:pStyle w:val="ListParagraph"/>
        <w:numPr>
          <w:ilvl w:val="0"/>
          <w:numId w:val="30"/>
        </w:numPr>
        <w:spacing w:before="120" w:after="120" w:line="248" w:lineRule="auto"/>
        <w:ind w:left="360"/>
        <w:jc w:val="both"/>
        <w:rPr>
          <w:rFonts w:ascii="Arial" w:eastAsia="Symbol" w:hAnsi="Arial" w:cs="Arial"/>
          <w:b/>
          <w:sz w:val="20"/>
          <w:szCs w:val="24"/>
        </w:rPr>
      </w:pPr>
      <w:r w:rsidRPr="00BB73BF">
        <w:rPr>
          <w:rFonts w:ascii="Arial" w:hAnsi="Arial" w:cs="Arial"/>
          <w:sz w:val="20"/>
        </w:rPr>
        <w:t>The Quarterly Performance Assessment Report is structured to report on five (5) Municipal Key Performance Areas which is the same as the National Key Performance Areas.</w:t>
      </w:r>
    </w:p>
    <w:p w14:paraId="6CF65FB9" w14:textId="5ED60B74" w:rsidR="004D44A9" w:rsidRPr="00EC4EED" w:rsidRDefault="004D44A9" w:rsidP="00312C74">
      <w:pPr>
        <w:pStyle w:val="ListParagraph"/>
        <w:numPr>
          <w:ilvl w:val="0"/>
          <w:numId w:val="30"/>
        </w:numPr>
        <w:spacing w:before="120" w:after="120" w:line="248" w:lineRule="auto"/>
        <w:ind w:left="360"/>
        <w:jc w:val="both"/>
        <w:rPr>
          <w:rFonts w:ascii="Arial" w:eastAsia="Symbol" w:hAnsi="Arial" w:cs="Arial"/>
          <w:sz w:val="24"/>
          <w:szCs w:val="24"/>
        </w:rPr>
      </w:pPr>
      <w:r w:rsidRPr="00114766">
        <w:rPr>
          <w:rFonts w:ascii="Arial" w:hAnsi="Arial" w:cs="Arial"/>
          <w:b/>
        </w:rPr>
        <w:t>The overall assessment of actual</w:t>
      </w:r>
      <w:r w:rsidRPr="00114766">
        <w:rPr>
          <w:rFonts w:ascii="Arial" w:hAnsi="Arial" w:cs="Arial"/>
        </w:rPr>
        <w:t xml:space="preserve"> Quarterly and annual performance against targets set for the Key Performance Indicators as documented in the SDBIP is illustrated in terms of the following assessment methodology:</w:t>
      </w:r>
    </w:p>
    <w:p w14:paraId="6236B288" w14:textId="77777777" w:rsidR="00EC4EED" w:rsidRPr="00EC4EED" w:rsidRDefault="00EC4EED" w:rsidP="00EC4EED">
      <w:pPr>
        <w:pStyle w:val="ListParagraph"/>
        <w:spacing w:before="120" w:after="120" w:line="248" w:lineRule="auto"/>
        <w:ind w:left="360"/>
        <w:jc w:val="both"/>
        <w:rPr>
          <w:rFonts w:ascii="Arial" w:eastAsia="Symbol" w:hAnsi="Arial" w:cs="Arial"/>
          <w:sz w:val="24"/>
          <w:szCs w:val="24"/>
        </w:rPr>
      </w:pPr>
    </w:p>
    <w:tbl>
      <w:tblPr>
        <w:tblW w:w="8234" w:type="dxa"/>
        <w:tblLook w:val="04A0" w:firstRow="1" w:lastRow="0" w:firstColumn="1" w:lastColumn="0" w:noHBand="0" w:noVBand="1"/>
      </w:tblPr>
      <w:tblGrid>
        <w:gridCol w:w="655"/>
        <w:gridCol w:w="3385"/>
        <w:gridCol w:w="4194"/>
      </w:tblGrid>
      <w:tr w:rsidR="00EC4EED" w:rsidRPr="00EC4EED" w14:paraId="6390C505" w14:textId="77777777" w:rsidTr="00EC4EED">
        <w:trPr>
          <w:trHeight w:val="348"/>
        </w:trPr>
        <w:tc>
          <w:tcPr>
            <w:tcW w:w="655" w:type="dxa"/>
            <w:tcBorders>
              <w:top w:val="nil"/>
              <w:left w:val="single" w:sz="4" w:space="0" w:color="000000"/>
              <w:bottom w:val="single" w:sz="4" w:space="0" w:color="000000"/>
              <w:right w:val="single" w:sz="4" w:space="0" w:color="000000"/>
            </w:tcBorders>
            <w:shd w:val="clear" w:color="000000" w:fill="CC0001"/>
            <w:hideMark/>
          </w:tcPr>
          <w:p w14:paraId="28AC3797"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R</w:t>
            </w:r>
          </w:p>
        </w:tc>
        <w:tc>
          <w:tcPr>
            <w:tcW w:w="3385" w:type="dxa"/>
            <w:tcBorders>
              <w:top w:val="nil"/>
              <w:left w:val="nil"/>
              <w:bottom w:val="single" w:sz="4" w:space="0" w:color="000000"/>
              <w:right w:val="single" w:sz="4" w:space="0" w:color="000000"/>
            </w:tcBorders>
            <w:shd w:val="clear" w:color="auto" w:fill="auto"/>
            <w:hideMark/>
          </w:tcPr>
          <w:p w14:paraId="71DD5D7D"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Not Met</w:t>
            </w:r>
          </w:p>
        </w:tc>
        <w:tc>
          <w:tcPr>
            <w:tcW w:w="4194" w:type="dxa"/>
            <w:tcBorders>
              <w:top w:val="nil"/>
              <w:left w:val="nil"/>
              <w:bottom w:val="single" w:sz="4" w:space="0" w:color="000000"/>
              <w:right w:val="single" w:sz="4" w:space="0" w:color="000000"/>
            </w:tcBorders>
            <w:shd w:val="clear" w:color="auto" w:fill="auto"/>
            <w:hideMark/>
          </w:tcPr>
          <w:p w14:paraId="5458891B"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0% &lt;= Actual/Target &lt;= 74.999%</w:t>
            </w:r>
          </w:p>
        </w:tc>
      </w:tr>
      <w:tr w:rsidR="00EC4EED" w:rsidRPr="00EC4EED" w14:paraId="73008C1B" w14:textId="77777777" w:rsidTr="00EC4EED">
        <w:trPr>
          <w:trHeight w:val="348"/>
        </w:trPr>
        <w:tc>
          <w:tcPr>
            <w:tcW w:w="655" w:type="dxa"/>
            <w:tcBorders>
              <w:top w:val="nil"/>
              <w:left w:val="single" w:sz="4" w:space="0" w:color="000000"/>
              <w:bottom w:val="single" w:sz="4" w:space="0" w:color="000000"/>
              <w:right w:val="single" w:sz="4" w:space="0" w:color="000000"/>
            </w:tcBorders>
            <w:shd w:val="clear" w:color="000000" w:fill="FE9900"/>
            <w:hideMark/>
          </w:tcPr>
          <w:p w14:paraId="43E34674"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O</w:t>
            </w:r>
          </w:p>
        </w:tc>
        <w:tc>
          <w:tcPr>
            <w:tcW w:w="3385" w:type="dxa"/>
            <w:tcBorders>
              <w:top w:val="nil"/>
              <w:left w:val="nil"/>
              <w:bottom w:val="single" w:sz="4" w:space="0" w:color="000000"/>
              <w:right w:val="single" w:sz="4" w:space="0" w:color="000000"/>
            </w:tcBorders>
            <w:shd w:val="clear" w:color="auto" w:fill="auto"/>
            <w:hideMark/>
          </w:tcPr>
          <w:p w14:paraId="0112B0BA"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Almost Met</w:t>
            </w:r>
          </w:p>
        </w:tc>
        <w:tc>
          <w:tcPr>
            <w:tcW w:w="4194" w:type="dxa"/>
            <w:tcBorders>
              <w:top w:val="nil"/>
              <w:left w:val="nil"/>
              <w:bottom w:val="single" w:sz="4" w:space="0" w:color="000000"/>
              <w:right w:val="single" w:sz="4" w:space="0" w:color="000000"/>
            </w:tcBorders>
            <w:shd w:val="clear" w:color="auto" w:fill="auto"/>
            <w:hideMark/>
          </w:tcPr>
          <w:p w14:paraId="45128837"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75.000% &lt;= Actual/Target &lt;= 99.999%</w:t>
            </w:r>
          </w:p>
        </w:tc>
      </w:tr>
      <w:tr w:rsidR="00EC4EED" w:rsidRPr="00EC4EED" w14:paraId="70595871" w14:textId="77777777" w:rsidTr="00EC4EED">
        <w:trPr>
          <w:trHeight w:val="697"/>
        </w:trPr>
        <w:tc>
          <w:tcPr>
            <w:tcW w:w="655" w:type="dxa"/>
            <w:tcBorders>
              <w:top w:val="nil"/>
              <w:left w:val="single" w:sz="4" w:space="0" w:color="000000"/>
              <w:bottom w:val="single" w:sz="4" w:space="0" w:color="000000"/>
              <w:right w:val="single" w:sz="4" w:space="0" w:color="000000"/>
            </w:tcBorders>
            <w:shd w:val="clear" w:color="000000" w:fill="009900"/>
            <w:hideMark/>
          </w:tcPr>
          <w:p w14:paraId="770BE336"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G</w:t>
            </w:r>
          </w:p>
        </w:tc>
        <w:tc>
          <w:tcPr>
            <w:tcW w:w="3385" w:type="dxa"/>
            <w:tcBorders>
              <w:top w:val="nil"/>
              <w:left w:val="nil"/>
              <w:bottom w:val="single" w:sz="4" w:space="0" w:color="000000"/>
              <w:right w:val="single" w:sz="4" w:space="0" w:color="000000"/>
            </w:tcBorders>
            <w:shd w:val="clear" w:color="auto" w:fill="auto"/>
            <w:hideMark/>
          </w:tcPr>
          <w:p w14:paraId="1E18951E"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Met</w:t>
            </w:r>
          </w:p>
        </w:tc>
        <w:tc>
          <w:tcPr>
            <w:tcW w:w="4194" w:type="dxa"/>
            <w:tcBorders>
              <w:top w:val="nil"/>
              <w:left w:val="nil"/>
              <w:bottom w:val="single" w:sz="4" w:space="0" w:color="000000"/>
              <w:right w:val="single" w:sz="4" w:space="0" w:color="000000"/>
            </w:tcBorders>
            <w:shd w:val="clear" w:color="auto" w:fill="auto"/>
            <w:hideMark/>
          </w:tcPr>
          <w:p w14:paraId="301D552C"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Actual meets Target (Actual/Target = 100%)</w:t>
            </w:r>
          </w:p>
        </w:tc>
      </w:tr>
      <w:tr w:rsidR="00EC4EED" w:rsidRPr="00EC4EED" w14:paraId="34D95487" w14:textId="77777777" w:rsidTr="00EC4EED">
        <w:trPr>
          <w:trHeight w:val="348"/>
        </w:trPr>
        <w:tc>
          <w:tcPr>
            <w:tcW w:w="655" w:type="dxa"/>
            <w:tcBorders>
              <w:top w:val="nil"/>
              <w:left w:val="single" w:sz="4" w:space="0" w:color="000000"/>
              <w:bottom w:val="single" w:sz="4" w:space="0" w:color="000000"/>
              <w:right w:val="single" w:sz="4" w:space="0" w:color="000000"/>
            </w:tcBorders>
            <w:shd w:val="clear" w:color="000000" w:fill="005500"/>
            <w:hideMark/>
          </w:tcPr>
          <w:p w14:paraId="2EA2D0A0"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G2</w:t>
            </w:r>
          </w:p>
        </w:tc>
        <w:tc>
          <w:tcPr>
            <w:tcW w:w="3385" w:type="dxa"/>
            <w:tcBorders>
              <w:top w:val="nil"/>
              <w:left w:val="nil"/>
              <w:bottom w:val="single" w:sz="4" w:space="0" w:color="000000"/>
              <w:right w:val="single" w:sz="4" w:space="0" w:color="000000"/>
            </w:tcBorders>
            <w:shd w:val="clear" w:color="auto" w:fill="auto"/>
            <w:hideMark/>
          </w:tcPr>
          <w:p w14:paraId="372A616B"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Well Met</w:t>
            </w:r>
          </w:p>
        </w:tc>
        <w:tc>
          <w:tcPr>
            <w:tcW w:w="4194" w:type="dxa"/>
            <w:tcBorders>
              <w:top w:val="nil"/>
              <w:left w:val="nil"/>
              <w:bottom w:val="single" w:sz="4" w:space="0" w:color="000000"/>
              <w:right w:val="single" w:sz="4" w:space="0" w:color="000000"/>
            </w:tcBorders>
            <w:shd w:val="clear" w:color="auto" w:fill="auto"/>
            <w:hideMark/>
          </w:tcPr>
          <w:p w14:paraId="6FE810CC"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100.001% &lt;= Actual/Target &lt;= 149.999%</w:t>
            </w:r>
          </w:p>
        </w:tc>
      </w:tr>
      <w:tr w:rsidR="00EC4EED" w:rsidRPr="00EC4EED" w14:paraId="6E0D4664" w14:textId="77777777" w:rsidTr="00EC4EED">
        <w:trPr>
          <w:trHeight w:val="348"/>
        </w:trPr>
        <w:tc>
          <w:tcPr>
            <w:tcW w:w="655" w:type="dxa"/>
            <w:tcBorders>
              <w:top w:val="nil"/>
              <w:left w:val="single" w:sz="4" w:space="0" w:color="000000"/>
              <w:bottom w:val="single" w:sz="4" w:space="0" w:color="000000"/>
              <w:right w:val="single" w:sz="4" w:space="0" w:color="000000"/>
            </w:tcBorders>
            <w:shd w:val="clear" w:color="000000" w:fill="000077"/>
            <w:hideMark/>
          </w:tcPr>
          <w:p w14:paraId="108C809C"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B</w:t>
            </w:r>
          </w:p>
        </w:tc>
        <w:tc>
          <w:tcPr>
            <w:tcW w:w="3385" w:type="dxa"/>
            <w:tcBorders>
              <w:top w:val="nil"/>
              <w:left w:val="nil"/>
              <w:bottom w:val="single" w:sz="4" w:space="0" w:color="000000"/>
              <w:right w:val="single" w:sz="4" w:space="0" w:color="000000"/>
            </w:tcBorders>
            <w:shd w:val="clear" w:color="auto" w:fill="auto"/>
            <w:hideMark/>
          </w:tcPr>
          <w:p w14:paraId="792E91AC"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Extremely Well Met</w:t>
            </w:r>
          </w:p>
        </w:tc>
        <w:tc>
          <w:tcPr>
            <w:tcW w:w="4194" w:type="dxa"/>
            <w:tcBorders>
              <w:top w:val="nil"/>
              <w:left w:val="nil"/>
              <w:bottom w:val="single" w:sz="4" w:space="0" w:color="000000"/>
              <w:right w:val="single" w:sz="4" w:space="0" w:color="000000"/>
            </w:tcBorders>
            <w:shd w:val="clear" w:color="auto" w:fill="auto"/>
            <w:hideMark/>
          </w:tcPr>
          <w:p w14:paraId="0A976BBF"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150.000% &lt;= Actual/Target</w:t>
            </w:r>
          </w:p>
        </w:tc>
      </w:tr>
    </w:tbl>
    <w:p w14:paraId="546A9710" w14:textId="047F2ABC" w:rsidR="004D44A9" w:rsidRDefault="004D44A9" w:rsidP="00312C74">
      <w:pPr>
        <w:pStyle w:val="ListParagraph"/>
        <w:spacing w:before="120" w:after="120" w:line="35" w:lineRule="exact"/>
        <w:ind w:left="1080" w:firstLine="60"/>
        <w:rPr>
          <w:rFonts w:ascii="Arial" w:eastAsia="Symbol" w:hAnsi="Arial" w:cs="Arial"/>
          <w:sz w:val="24"/>
          <w:szCs w:val="24"/>
        </w:rPr>
      </w:pPr>
    </w:p>
    <w:p w14:paraId="5095704E" w14:textId="77777777" w:rsidR="00BB73BF" w:rsidRDefault="00BB73BF" w:rsidP="00312C74">
      <w:pPr>
        <w:pStyle w:val="ListParagraph"/>
        <w:spacing w:before="120" w:after="120" w:line="35" w:lineRule="exact"/>
        <w:ind w:left="1080" w:firstLine="60"/>
        <w:rPr>
          <w:rFonts w:ascii="Arial" w:eastAsia="Symbol" w:hAnsi="Arial" w:cs="Arial"/>
          <w:sz w:val="24"/>
          <w:szCs w:val="24"/>
        </w:rPr>
      </w:pPr>
    </w:p>
    <w:p w14:paraId="100236BB" w14:textId="77777777" w:rsidR="00BB73BF" w:rsidRDefault="00BB73BF" w:rsidP="00312C74">
      <w:pPr>
        <w:pStyle w:val="ListParagraph"/>
        <w:spacing w:before="120" w:after="120" w:line="35" w:lineRule="exact"/>
        <w:ind w:left="1080" w:firstLine="60"/>
        <w:rPr>
          <w:rFonts w:ascii="Arial" w:eastAsia="Symbol" w:hAnsi="Arial" w:cs="Arial"/>
          <w:sz w:val="24"/>
          <w:szCs w:val="24"/>
        </w:rPr>
      </w:pPr>
    </w:p>
    <w:p w14:paraId="3FFA67F8" w14:textId="77777777" w:rsidR="00BB73BF" w:rsidRDefault="00BB73BF" w:rsidP="00312C74">
      <w:pPr>
        <w:pStyle w:val="ListParagraph"/>
        <w:spacing w:before="120" w:after="120" w:line="35" w:lineRule="exact"/>
        <w:ind w:left="1080" w:firstLine="60"/>
        <w:rPr>
          <w:rFonts w:ascii="Arial" w:eastAsia="Symbol" w:hAnsi="Arial" w:cs="Arial"/>
          <w:sz w:val="24"/>
          <w:szCs w:val="24"/>
        </w:rPr>
      </w:pPr>
    </w:p>
    <w:p w14:paraId="04736C3D" w14:textId="77777777" w:rsidR="00BB73BF" w:rsidRDefault="00BB73BF" w:rsidP="00312C74">
      <w:pPr>
        <w:pStyle w:val="ListParagraph"/>
        <w:spacing w:before="120" w:after="120" w:line="35" w:lineRule="exact"/>
        <w:ind w:left="1080" w:firstLine="60"/>
        <w:rPr>
          <w:rFonts w:ascii="Arial" w:eastAsia="Symbol" w:hAnsi="Arial" w:cs="Arial"/>
          <w:sz w:val="24"/>
          <w:szCs w:val="24"/>
        </w:rPr>
      </w:pPr>
    </w:p>
    <w:p w14:paraId="5B0C1D27" w14:textId="77777777" w:rsidR="00BB73BF" w:rsidRDefault="00BB73BF" w:rsidP="00312C74">
      <w:pPr>
        <w:pStyle w:val="ListParagraph"/>
        <w:spacing w:before="120" w:after="120" w:line="35" w:lineRule="exact"/>
        <w:ind w:left="1080" w:firstLine="60"/>
        <w:rPr>
          <w:rFonts w:ascii="Arial" w:eastAsia="Symbol" w:hAnsi="Arial" w:cs="Arial"/>
          <w:sz w:val="24"/>
          <w:szCs w:val="24"/>
        </w:rPr>
      </w:pPr>
    </w:p>
    <w:p w14:paraId="7AC73576" w14:textId="77777777" w:rsidR="00BB73BF" w:rsidRPr="00312C74" w:rsidRDefault="00BB73BF" w:rsidP="00312C74">
      <w:pPr>
        <w:pStyle w:val="ListParagraph"/>
        <w:spacing w:before="120" w:after="120" w:line="35" w:lineRule="exact"/>
        <w:ind w:left="1080" w:firstLine="60"/>
        <w:rPr>
          <w:rFonts w:ascii="Arial" w:eastAsia="Symbol" w:hAnsi="Arial" w:cs="Arial"/>
          <w:sz w:val="24"/>
          <w:szCs w:val="24"/>
        </w:rPr>
      </w:pPr>
    </w:p>
    <w:p w14:paraId="59A485DE" w14:textId="6518C348" w:rsidR="004D44A9" w:rsidRPr="00EC4EED" w:rsidRDefault="004D44A9" w:rsidP="00EC4EED">
      <w:pPr>
        <w:pStyle w:val="ListParagraph"/>
        <w:numPr>
          <w:ilvl w:val="0"/>
          <w:numId w:val="30"/>
        </w:numPr>
        <w:tabs>
          <w:tab w:val="left" w:pos="1423"/>
        </w:tabs>
        <w:spacing w:line="248" w:lineRule="auto"/>
        <w:ind w:left="360"/>
        <w:jc w:val="both"/>
        <w:rPr>
          <w:rFonts w:ascii="Arial" w:eastAsia="Symbol" w:hAnsi="Arial" w:cs="Arial"/>
          <w:b/>
          <w:sz w:val="4"/>
          <w:szCs w:val="24"/>
        </w:rPr>
      </w:pPr>
    </w:p>
    <w:p w14:paraId="2A87E7E4" w14:textId="0F984542" w:rsidR="004D44A9" w:rsidRPr="00BB73BF" w:rsidRDefault="004D44A9" w:rsidP="00BB73BF">
      <w:pPr>
        <w:pStyle w:val="ListParagraph"/>
        <w:numPr>
          <w:ilvl w:val="0"/>
          <w:numId w:val="41"/>
        </w:numPr>
        <w:spacing w:before="120" w:after="120" w:line="239" w:lineRule="auto"/>
        <w:ind w:left="360"/>
        <w:jc w:val="both"/>
        <w:rPr>
          <w:rFonts w:ascii="Arial" w:hAnsi="Arial" w:cs="Arial"/>
          <w:sz w:val="20"/>
          <w:szCs w:val="24"/>
        </w:rPr>
      </w:pPr>
      <w:r w:rsidRPr="00BB73BF">
        <w:rPr>
          <w:rFonts w:ascii="Arial" w:hAnsi="Arial" w:cs="Arial"/>
          <w:sz w:val="20"/>
          <w:szCs w:val="24"/>
        </w:rPr>
        <w:t xml:space="preserve">Progress on KPI’s are captured quarterly </w:t>
      </w:r>
      <w:r w:rsidR="00164AFC">
        <w:rPr>
          <w:rFonts w:ascii="Arial" w:hAnsi="Arial" w:cs="Arial"/>
          <w:sz w:val="20"/>
          <w:szCs w:val="24"/>
        </w:rPr>
        <w:t>manually by the performance officer</w:t>
      </w:r>
      <w:r w:rsidR="00EC4EED">
        <w:rPr>
          <w:rFonts w:ascii="Arial" w:hAnsi="Arial" w:cs="Arial"/>
          <w:sz w:val="20"/>
          <w:szCs w:val="24"/>
        </w:rPr>
        <w:t xml:space="preserve"> as well KPI owners</w:t>
      </w:r>
    </w:p>
    <w:p w14:paraId="3AD7E301" w14:textId="77777777" w:rsidR="004D44A9" w:rsidRPr="00BB73BF" w:rsidRDefault="004D44A9" w:rsidP="00BB73BF">
      <w:pPr>
        <w:pStyle w:val="ListParagraph"/>
        <w:numPr>
          <w:ilvl w:val="0"/>
          <w:numId w:val="41"/>
        </w:numPr>
        <w:spacing w:before="120" w:after="120" w:line="239" w:lineRule="auto"/>
        <w:ind w:left="360"/>
        <w:jc w:val="both"/>
        <w:rPr>
          <w:rFonts w:ascii="Arial" w:hAnsi="Arial" w:cs="Arial"/>
          <w:sz w:val="20"/>
          <w:szCs w:val="24"/>
        </w:rPr>
      </w:pPr>
      <w:r w:rsidRPr="00BB73BF">
        <w:rPr>
          <w:rFonts w:ascii="Arial" w:hAnsi="Arial" w:cs="Arial"/>
          <w:sz w:val="20"/>
          <w:szCs w:val="24"/>
        </w:rPr>
        <w:t>This report is based on the Top Layer SDBIP and comprises of the following:</w:t>
      </w:r>
    </w:p>
    <w:p w14:paraId="072C7AA7" w14:textId="53B276DF" w:rsidR="004D44A9" w:rsidRPr="00BB73BF" w:rsidRDefault="004D44A9" w:rsidP="008126A8">
      <w:pPr>
        <w:pStyle w:val="ListParagraph"/>
        <w:numPr>
          <w:ilvl w:val="1"/>
          <w:numId w:val="31"/>
        </w:numPr>
        <w:spacing w:before="120" w:after="120" w:line="239" w:lineRule="auto"/>
        <w:jc w:val="both"/>
        <w:rPr>
          <w:rFonts w:ascii="Arial" w:hAnsi="Arial" w:cs="Arial"/>
          <w:sz w:val="20"/>
          <w:szCs w:val="24"/>
        </w:rPr>
      </w:pPr>
      <w:r w:rsidRPr="00BB73BF">
        <w:rPr>
          <w:rFonts w:ascii="Arial" w:hAnsi="Arial" w:cs="Arial"/>
          <w:sz w:val="20"/>
          <w:szCs w:val="24"/>
        </w:rPr>
        <w:t>A summary of the overall performance of the Municipality in terms of the National Key Performance Area’s for Local Government</w:t>
      </w:r>
    </w:p>
    <w:p w14:paraId="506A119D" w14:textId="77777777" w:rsidR="004D44A9" w:rsidRPr="00BB73BF" w:rsidRDefault="004D44A9" w:rsidP="008126A8">
      <w:pPr>
        <w:pStyle w:val="ListParagraph"/>
        <w:numPr>
          <w:ilvl w:val="1"/>
          <w:numId w:val="31"/>
        </w:numPr>
        <w:spacing w:before="120" w:after="120" w:line="239" w:lineRule="auto"/>
        <w:jc w:val="both"/>
        <w:rPr>
          <w:rFonts w:ascii="Arial" w:hAnsi="Arial" w:cs="Arial"/>
          <w:sz w:val="20"/>
          <w:szCs w:val="24"/>
        </w:rPr>
      </w:pPr>
      <w:r w:rsidRPr="00BB73BF">
        <w:rPr>
          <w:rFonts w:ascii="Arial" w:hAnsi="Arial" w:cs="Arial"/>
          <w:sz w:val="20"/>
          <w:szCs w:val="24"/>
        </w:rPr>
        <w:t>A summary of the overall performance of the Municipality in terms of the five Municipal Key Performance Area’s.</w:t>
      </w:r>
    </w:p>
    <w:p w14:paraId="10328FAD" w14:textId="77777777" w:rsidR="004D44A9" w:rsidRPr="00BB73BF" w:rsidRDefault="004D44A9" w:rsidP="008126A8">
      <w:pPr>
        <w:pStyle w:val="ListParagraph"/>
        <w:numPr>
          <w:ilvl w:val="1"/>
          <w:numId w:val="31"/>
        </w:numPr>
        <w:spacing w:before="120" w:after="120" w:line="239" w:lineRule="auto"/>
        <w:jc w:val="both"/>
        <w:rPr>
          <w:rFonts w:ascii="Arial" w:hAnsi="Arial" w:cs="Arial"/>
          <w:sz w:val="20"/>
          <w:szCs w:val="24"/>
        </w:rPr>
      </w:pPr>
      <w:r w:rsidRPr="00BB73BF">
        <w:rPr>
          <w:rFonts w:ascii="Arial" w:hAnsi="Arial" w:cs="Arial"/>
          <w:sz w:val="20"/>
          <w:szCs w:val="24"/>
        </w:rPr>
        <w:t>A detailed performance review per Municipal Key Performance Area (MKPA).</w:t>
      </w:r>
    </w:p>
    <w:p w14:paraId="7EBE98F1" w14:textId="77777777" w:rsidR="004D44A9" w:rsidRPr="00312C74" w:rsidRDefault="004D44A9" w:rsidP="004D44A9">
      <w:pPr>
        <w:rPr>
          <w:rFonts w:ascii="Arial" w:hAnsi="Arial" w:cs="Arial"/>
          <w:sz w:val="24"/>
          <w:szCs w:val="24"/>
        </w:rPr>
      </w:pPr>
    </w:p>
    <w:p w14:paraId="70FE3F1F" w14:textId="1387CC16" w:rsidR="004D44A9" w:rsidRPr="00312C74" w:rsidRDefault="004D44A9" w:rsidP="00080DA7">
      <w:pPr>
        <w:pStyle w:val="Heading3"/>
      </w:pPr>
      <w:bookmarkStart w:id="15" w:name="_Toc54178627"/>
      <w:bookmarkStart w:id="16" w:name="_Toc180746334"/>
      <w:r w:rsidRPr="00312C74">
        <w:t>MONITORING</w:t>
      </w:r>
      <w:bookmarkEnd w:id="15"/>
      <w:bookmarkEnd w:id="16"/>
    </w:p>
    <w:p w14:paraId="64C885EA" w14:textId="77777777" w:rsidR="004D44A9" w:rsidRPr="00312C74" w:rsidRDefault="004D44A9" w:rsidP="004D44A9">
      <w:pPr>
        <w:pStyle w:val="ListParagraph"/>
        <w:spacing w:line="239" w:lineRule="auto"/>
        <w:ind w:left="1080"/>
        <w:rPr>
          <w:rFonts w:ascii="Arial" w:hAnsi="Arial" w:cs="Arial"/>
          <w:b/>
          <w:sz w:val="24"/>
          <w:szCs w:val="24"/>
        </w:rPr>
      </w:pPr>
    </w:p>
    <w:p w14:paraId="02795CE6" w14:textId="1202C10F" w:rsidR="004D44A9" w:rsidRPr="00526078" w:rsidRDefault="004D44A9" w:rsidP="00526078">
      <w:pPr>
        <w:pStyle w:val="ListParagraph"/>
        <w:numPr>
          <w:ilvl w:val="0"/>
          <w:numId w:val="28"/>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Municipality utilise</w:t>
      </w:r>
      <w:r w:rsidR="003335A5">
        <w:rPr>
          <w:rFonts w:ascii="Arial" w:hAnsi="Arial" w:cs="Arial"/>
          <w:szCs w:val="24"/>
        </w:rPr>
        <w:t>s a manual system where KPI’s is updated manually</w:t>
      </w:r>
      <w:r w:rsidR="00BB73BF">
        <w:rPr>
          <w:rFonts w:ascii="Arial" w:hAnsi="Arial" w:cs="Arial"/>
          <w:szCs w:val="24"/>
        </w:rPr>
        <w:t xml:space="preserve">. </w:t>
      </w:r>
      <w:r w:rsidRPr="00526078">
        <w:rPr>
          <w:rFonts w:ascii="Arial" w:hAnsi="Arial" w:cs="Arial"/>
          <w:szCs w:val="24"/>
        </w:rPr>
        <w:t xml:space="preserve"> </w:t>
      </w:r>
    </w:p>
    <w:p w14:paraId="572A9730" w14:textId="77777777" w:rsidR="00767DF1" w:rsidRDefault="004D44A9" w:rsidP="008126A8">
      <w:pPr>
        <w:pStyle w:val="ListParagraph"/>
        <w:numPr>
          <w:ilvl w:val="0"/>
          <w:numId w:val="28"/>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 xml:space="preserve">In terms of Section 46(1)(a)(iii) of the MSA the Municipality must reflect annually in the Annual Performance Report on measures taken to improve performance, in other words targets not achieved. </w:t>
      </w:r>
    </w:p>
    <w:p w14:paraId="5027BAB7" w14:textId="3070768E" w:rsidR="004D44A9" w:rsidRPr="00767DF1" w:rsidRDefault="004D44A9" w:rsidP="008126A8">
      <w:pPr>
        <w:pStyle w:val="ListParagraph"/>
        <w:numPr>
          <w:ilvl w:val="0"/>
          <w:numId w:val="28"/>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system requires that comments, reasons as well as corrective actions to be taken must be captured for targets not achieved.</w:t>
      </w:r>
      <w:r w:rsidR="00767DF1">
        <w:rPr>
          <w:rFonts w:ascii="Arial" w:hAnsi="Arial" w:cs="Arial"/>
          <w:szCs w:val="24"/>
        </w:rPr>
        <w:t xml:space="preserve"> Supporting documents must be uploaded as proof of evidence that targets have been achieved and corrective measures have been done.</w:t>
      </w:r>
    </w:p>
    <w:p w14:paraId="1F32E5D9" w14:textId="77777777" w:rsidR="004D44A9" w:rsidRPr="00767DF1" w:rsidRDefault="004D44A9" w:rsidP="008126A8">
      <w:pPr>
        <w:pStyle w:val="ListParagraph"/>
        <w:numPr>
          <w:ilvl w:val="0"/>
          <w:numId w:val="28"/>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In the event of targets being overachieved comments for over achievement must be captured as well as the budget implications if any.</w:t>
      </w:r>
    </w:p>
    <w:p w14:paraId="7C5083CA" w14:textId="77777777" w:rsidR="001A010A" w:rsidRPr="00767DF1" w:rsidRDefault="001A010A" w:rsidP="001A010A">
      <w:pPr>
        <w:pStyle w:val="ListParagraph"/>
        <w:numPr>
          <w:ilvl w:val="0"/>
          <w:numId w:val="28"/>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Performance Management Officials, after receiving input per KPI from the KPI Owners must document the following information on the performance system:</w:t>
      </w:r>
    </w:p>
    <w:p w14:paraId="37DCCDAD"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The actual result in terms of the target set</w:t>
      </w:r>
    </w:p>
    <w:p w14:paraId="2CCB31E7"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 xml:space="preserve">The Performance Comment on achieving the KPI  </w:t>
      </w:r>
    </w:p>
    <w:p w14:paraId="0A462C69"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 xml:space="preserve">The calculation of the actual performance report (if%) </w:t>
      </w:r>
    </w:p>
    <w:p w14:paraId="4122622E"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Financial implication, if any</w:t>
      </w:r>
    </w:p>
    <w:p w14:paraId="5F1D54BA"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Portfolio of evidence can be uploaded to support actual results</w:t>
      </w:r>
    </w:p>
    <w:p w14:paraId="0348517F" w14:textId="1FDC9565" w:rsidR="001A010A" w:rsidRPr="00767DF1" w:rsidRDefault="001A010A" w:rsidP="00767DF1">
      <w:pPr>
        <w:pStyle w:val="ListParagraph"/>
        <w:numPr>
          <w:ilvl w:val="2"/>
          <w:numId w:val="39"/>
        </w:numPr>
        <w:spacing w:before="120" w:after="120" w:line="240" w:lineRule="auto"/>
        <w:ind w:left="1710" w:hanging="450"/>
        <w:contextualSpacing w:val="0"/>
        <w:jc w:val="both"/>
        <w:rPr>
          <w:rFonts w:ascii="Arial" w:hAnsi="Arial" w:cs="Arial"/>
          <w:szCs w:val="24"/>
        </w:rPr>
      </w:pPr>
      <w:r w:rsidRPr="00767DF1">
        <w:rPr>
          <w:rFonts w:ascii="Arial" w:hAnsi="Arial" w:cs="Arial"/>
          <w:szCs w:val="24"/>
        </w:rPr>
        <w:t>Actions to improve (corrective actions) the perform</w:t>
      </w:r>
      <w:r w:rsidR="00767DF1">
        <w:rPr>
          <w:rFonts w:ascii="Arial" w:hAnsi="Arial" w:cs="Arial"/>
          <w:szCs w:val="24"/>
        </w:rPr>
        <w:t xml:space="preserve">ance against the target set, if </w:t>
      </w:r>
      <w:r w:rsidRPr="00767DF1">
        <w:rPr>
          <w:rFonts w:ascii="Arial" w:hAnsi="Arial" w:cs="Arial"/>
          <w:szCs w:val="24"/>
        </w:rPr>
        <w:t>the target was not achieved</w:t>
      </w:r>
    </w:p>
    <w:p w14:paraId="086B1429" w14:textId="4C118ACB"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 xml:space="preserve">A clear indication if there was no target then  - </w:t>
      </w:r>
      <w:r w:rsidR="00767DF1">
        <w:rPr>
          <w:rFonts w:ascii="Arial" w:hAnsi="Arial" w:cs="Arial"/>
          <w:szCs w:val="24"/>
        </w:rPr>
        <w:t xml:space="preserve">KPI </w:t>
      </w:r>
      <w:r w:rsidRPr="00767DF1">
        <w:rPr>
          <w:rFonts w:ascii="Arial" w:hAnsi="Arial" w:cs="Arial"/>
          <w:szCs w:val="24"/>
        </w:rPr>
        <w:t>Not Measured</w:t>
      </w:r>
      <w:r w:rsidR="00767DF1">
        <w:rPr>
          <w:rFonts w:ascii="Arial" w:hAnsi="Arial" w:cs="Arial"/>
          <w:szCs w:val="24"/>
        </w:rPr>
        <w:t xml:space="preserve"> /  Not Applicable </w:t>
      </w:r>
    </w:p>
    <w:p w14:paraId="0EF12405" w14:textId="77777777" w:rsidR="001A010A" w:rsidRPr="00767DF1" w:rsidRDefault="001A010A" w:rsidP="001A010A">
      <w:pPr>
        <w:pStyle w:val="ListParagraph"/>
        <w:numPr>
          <w:ilvl w:val="2"/>
          <w:numId w:val="39"/>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Indication if target was put on hold and the reason therefore</w:t>
      </w:r>
    </w:p>
    <w:p w14:paraId="1E2E9681" w14:textId="77777777" w:rsidR="001A010A" w:rsidRPr="00767DF1" w:rsidRDefault="001A010A" w:rsidP="001A010A">
      <w:pPr>
        <w:pStyle w:val="ListParagraph"/>
        <w:spacing w:before="120" w:after="120" w:line="240" w:lineRule="auto"/>
        <w:ind w:left="1080"/>
        <w:contextualSpacing w:val="0"/>
        <w:jc w:val="both"/>
        <w:rPr>
          <w:rFonts w:ascii="Arial" w:hAnsi="Arial" w:cs="Arial"/>
          <w:szCs w:val="24"/>
        </w:rPr>
      </w:pPr>
    </w:p>
    <w:p w14:paraId="40758E3B" w14:textId="64F47904" w:rsidR="000B31DF" w:rsidRPr="00F73206" w:rsidRDefault="00BB73BF" w:rsidP="000B31DF">
      <w:pPr>
        <w:rPr>
          <w:rFonts w:ascii="Arial" w:hAnsi="Arial" w:cs="Arial"/>
          <w:szCs w:val="24"/>
        </w:rPr>
      </w:pPr>
      <w:r>
        <w:rPr>
          <w:rFonts w:ascii="Arial" w:hAnsi="Arial" w:cs="Arial"/>
          <w:szCs w:val="24"/>
        </w:rPr>
        <w:br w:type="page"/>
      </w:r>
    </w:p>
    <w:p w14:paraId="7E6AC766" w14:textId="181C5CF6" w:rsidR="00857B75" w:rsidRPr="00312C74" w:rsidRDefault="00857B75" w:rsidP="0031371B">
      <w:pPr>
        <w:pStyle w:val="Heading2"/>
        <w:numPr>
          <w:ilvl w:val="0"/>
          <w:numId w:val="34"/>
        </w:numPr>
        <w:ind w:hanging="810"/>
      </w:pPr>
      <w:bookmarkStart w:id="17" w:name="_Toc180746335"/>
      <w:r w:rsidRPr="00312C74">
        <w:t>CONSOLIDATED PERFORMANCE OF THE MUNICIPALITY IN IMPLEMENTING THE SDBIP</w:t>
      </w:r>
      <w:bookmarkEnd w:id="17"/>
      <w:r w:rsidRPr="00312C74">
        <w:t xml:space="preserve"> </w:t>
      </w:r>
    </w:p>
    <w:p w14:paraId="604E2FCF" w14:textId="5C36CF03" w:rsidR="00E16140" w:rsidRPr="00312C74" w:rsidRDefault="00E16140" w:rsidP="00E16140">
      <w:pPr>
        <w:jc w:val="center"/>
        <w:rPr>
          <w:rFonts w:ascii="Arial" w:hAnsi="Arial" w:cs="Arial"/>
        </w:rPr>
      </w:pPr>
    </w:p>
    <w:p w14:paraId="46A7DDC0" w14:textId="0248B8F6" w:rsidR="00C61920" w:rsidRPr="00080DA7" w:rsidRDefault="00080DA7" w:rsidP="00080DA7">
      <w:pPr>
        <w:pStyle w:val="Heading3"/>
        <w:rPr>
          <w:rFonts w:ascii="Arial" w:hAnsi="Arial" w:cs="Arial"/>
          <w:sz w:val="6"/>
        </w:rPr>
      </w:pPr>
      <w:bookmarkStart w:id="18" w:name="_Toc54178628"/>
      <w:bookmarkStart w:id="19" w:name="_Toc62745440"/>
      <w:bookmarkStart w:id="20" w:name="_Toc180746336"/>
      <w:r w:rsidRPr="00080DA7">
        <w:t xml:space="preserve">ACTUAL PERFORMANCE FOR THE </w:t>
      </w:r>
      <w:r w:rsidR="008C2710">
        <w:t>SECOND</w:t>
      </w:r>
      <w:r w:rsidR="00EC4EED">
        <w:t xml:space="preserve"> QUARTER 01 </w:t>
      </w:r>
      <w:r w:rsidR="008C2710">
        <w:t>OCT</w:t>
      </w:r>
      <w:r w:rsidR="00A44B29">
        <w:t xml:space="preserve"> 2024 </w:t>
      </w:r>
      <w:r w:rsidRPr="00080DA7">
        <w:t xml:space="preserve"> – 3</w:t>
      </w:r>
      <w:r w:rsidR="008C2710">
        <w:t>1</w:t>
      </w:r>
      <w:r w:rsidR="00A44B29">
        <w:t xml:space="preserve"> </w:t>
      </w:r>
      <w:r w:rsidR="008C2710">
        <w:t>DECEMBER</w:t>
      </w:r>
      <w:r w:rsidRPr="00080DA7">
        <w:t xml:space="preserve"> 202</w:t>
      </w:r>
      <w:bookmarkEnd w:id="18"/>
      <w:bookmarkEnd w:id="19"/>
      <w:r w:rsidR="00A44B29">
        <w:t>4</w:t>
      </w:r>
      <w:bookmarkEnd w:id="20"/>
    </w:p>
    <w:p w14:paraId="339D17BE" w14:textId="26914FB2" w:rsidR="00080DA7" w:rsidRPr="008B4BEC" w:rsidRDefault="00C61920" w:rsidP="00304983">
      <w:pPr>
        <w:pStyle w:val="ListParagraph"/>
        <w:numPr>
          <w:ilvl w:val="0"/>
          <w:numId w:val="32"/>
        </w:numPr>
        <w:spacing w:before="120" w:after="120" w:line="240" w:lineRule="auto"/>
        <w:ind w:left="720" w:hanging="720"/>
        <w:contextualSpacing w:val="0"/>
        <w:jc w:val="both"/>
        <w:rPr>
          <w:rFonts w:ascii="Arial" w:hAnsi="Arial" w:cs="Arial"/>
          <w:sz w:val="24"/>
          <w:szCs w:val="24"/>
        </w:rPr>
      </w:pPr>
      <w:r w:rsidRPr="002C5244">
        <w:rPr>
          <w:rFonts w:ascii="Arial" w:hAnsi="Arial" w:cs="Arial"/>
          <w:sz w:val="24"/>
          <w:szCs w:val="24"/>
        </w:rPr>
        <w:t>The Top Layer SDBIP contains performance indicators per Municipal Key Performance Area and comments on corrective measures with regard to targets not achieved.</w:t>
      </w:r>
      <w:bookmarkStart w:id="21" w:name="_Hlk188525000"/>
    </w:p>
    <w:p w14:paraId="1F750FEC" w14:textId="0C028ACC" w:rsidR="00C61920" w:rsidRPr="00DC3BBD" w:rsidRDefault="00C61920" w:rsidP="00080DA7">
      <w:pPr>
        <w:pStyle w:val="Heading3"/>
      </w:pPr>
      <w:bookmarkStart w:id="22" w:name="_Toc180746337"/>
      <w:r w:rsidRPr="00DC3BBD">
        <w:t>OVERALL PERFORMANCE OF THE MUNICIPALITY</w:t>
      </w:r>
      <w:bookmarkEnd w:id="22"/>
    </w:p>
    <w:bookmarkEnd w:id="21"/>
    <w:p w14:paraId="68F084E2" w14:textId="69308CB9" w:rsidR="00C61920" w:rsidRPr="00DC3BBD" w:rsidRDefault="00C61920" w:rsidP="00C61920">
      <w:pPr>
        <w:pStyle w:val="ListParagraph"/>
        <w:spacing w:line="239" w:lineRule="auto"/>
        <w:rPr>
          <w:rFonts w:ascii="Arial" w:hAnsi="Arial" w:cs="Arial"/>
          <w:b/>
          <w:sz w:val="18"/>
          <w:szCs w:val="24"/>
        </w:rPr>
      </w:pPr>
    </w:p>
    <w:p w14:paraId="7DD7A220" w14:textId="202FB7A2" w:rsidR="007B1CCB" w:rsidRPr="00A44B29" w:rsidRDefault="00BB73BF" w:rsidP="00A44B29">
      <w:pPr>
        <w:pStyle w:val="ListParagraph"/>
        <w:numPr>
          <w:ilvl w:val="0"/>
          <w:numId w:val="18"/>
        </w:numPr>
        <w:spacing w:line="239" w:lineRule="auto"/>
        <w:jc w:val="both"/>
        <w:rPr>
          <w:rFonts w:ascii="Arial" w:hAnsi="Arial" w:cs="Arial"/>
          <w:sz w:val="24"/>
          <w:szCs w:val="24"/>
        </w:rPr>
      </w:pPr>
      <w:r>
        <w:rPr>
          <w:rFonts w:ascii="Arial" w:hAnsi="Arial" w:cs="Arial"/>
          <w:sz w:val="24"/>
          <w:szCs w:val="24"/>
        </w:rPr>
        <w:t>S</w:t>
      </w:r>
      <w:r w:rsidR="00C61920" w:rsidRPr="001A0747">
        <w:rPr>
          <w:rFonts w:ascii="Arial" w:hAnsi="Arial" w:cs="Arial"/>
          <w:sz w:val="24"/>
          <w:szCs w:val="24"/>
        </w:rPr>
        <w:t xml:space="preserve">ummary per National Key Performance Area (NKPA) for the period </w:t>
      </w:r>
      <w:r>
        <w:rPr>
          <w:rFonts w:ascii="Arial" w:hAnsi="Arial" w:cs="Arial"/>
          <w:sz w:val="24"/>
          <w:szCs w:val="24"/>
        </w:rPr>
        <w:t xml:space="preserve">1 </w:t>
      </w:r>
      <w:r w:rsidR="008C2710">
        <w:rPr>
          <w:rFonts w:ascii="Arial" w:hAnsi="Arial" w:cs="Arial"/>
          <w:sz w:val="24"/>
          <w:szCs w:val="24"/>
        </w:rPr>
        <w:t>Oct</w:t>
      </w:r>
      <w:r w:rsidR="00A44B29">
        <w:rPr>
          <w:rFonts w:ascii="Arial" w:hAnsi="Arial" w:cs="Arial"/>
          <w:sz w:val="24"/>
          <w:szCs w:val="24"/>
        </w:rPr>
        <w:t xml:space="preserve"> – 3</w:t>
      </w:r>
      <w:r w:rsidR="008C2710">
        <w:rPr>
          <w:rFonts w:ascii="Arial" w:hAnsi="Arial" w:cs="Arial"/>
          <w:sz w:val="24"/>
          <w:szCs w:val="24"/>
        </w:rPr>
        <w:t>1</w:t>
      </w:r>
      <w:r w:rsidR="00A44B29">
        <w:rPr>
          <w:rFonts w:ascii="Arial" w:hAnsi="Arial" w:cs="Arial"/>
          <w:sz w:val="24"/>
          <w:szCs w:val="24"/>
        </w:rPr>
        <w:t xml:space="preserve"> </w:t>
      </w:r>
      <w:r w:rsidR="008C2710">
        <w:rPr>
          <w:rFonts w:ascii="Arial" w:hAnsi="Arial" w:cs="Arial"/>
          <w:sz w:val="24"/>
          <w:szCs w:val="24"/>
        </w:rPr>
        <w:t>December</w:t>
      </w:r>
      <w:r w:rsidR="00A44B29">
        <w:rPr>
          <w:rFonts w:ascii="Arial" w:hAnsi="Arial" w:cs="Arial"/>
          <w:sz w:val="24"/>
          <w:szCs w:val="24"/>
        </w:rPr>
        <w:t xml:space="preserve"> 2024</w:t>
      </w:r>
    </w:p>
    <w:p w14:paraId="3F52B6D4" w14:textId="7E6C5B37" w:rsidR="00E66BCF" w:rsidRDefault="007B60AE" w:rsidP="00720242">
      <w:pPr>
        <w:pStyle w:val="ListParagraph"/>
        <w:numPr>
          <w:ilvl w:val="0"/>
          <w:numId w:val="18"/>
        </w:numPr>
        <w:spacing w:line="239" w:lineRule="auto"/>
        <w:jc w:val="both"/>
        <w:rPr>
          <w:rFonts w:ascii="Arial" w:hAnsi="Arial" w:cs="Arial"/>
          <w:sz w:val="24"/>
          <w:szCs w:val="24"/>
        </w:rPr>
      </w:pPr>
      <w:r w:rsidRPr="00312C74">
        <w:rPr>
          <w:rFonts w:ascii="Arial" w:hAnsi="Arial" w:cs="Arial"/>
          <w:sz w:val="24"/>
          <w:szCs w:val="24"/>
        </w:rPr>
        <w:t>See Annexure A for Q</w:t>
      </w:r>
      <w:r w:rsidR="008C2710">
        <w:rPr>
          <w:rFonts w:ascii="Arial" w:hAnsi="Arial" w:cs="Arial"/>
          <w:sz w:val="24"/>
          <w:szCs w:val="24"/>
        </w:rPr>
        <w:t>2</w:t>
      </w:r>
    </w:p>
    <w:p w14:paraId="660F98F4" w14:textId="77777777" w:rsidR="00767DF1" w:rsidRPr="00312C74" w:rsidRDefault="00767DF1" w:rsidP="00080DA7">
      <w:pPr>
        <w:spacing w:after="0"/>
        <w:rPr>
          <w:rFonts w:ascii="Arial" w:hAnsi="Arial" w:cs="Arial"/>
          <w:sz w:val="24"/>
          <w:szCs w:val="24"/>
        </w:rPr>
      </w:pPr>
    </w:p>
    <w:p w14:paraId="64399B1C" w14:textId="77777777" w:rsidR="00080DA7" w:rsidRDefault="00080DA7" w:rsidP="00080DA7">
      <w:pPr>
        <w:jc w:val="both"/>
        <w:rPr>
          <w:rFonts w:ascii="Arial" w:hAnsi="Arial" w:cs="Arial"/>
          <w:szCs w:val="24"/>
        </w:rPr>
      </w:pPr>
      <w:r w:rsidRPr="000926F6">
        <w:rPr>
          <w:rFonts w:ascii="Arial" w:hAnsi="Arial" w:cs="Arial"/>
          <w:szCs w:val="24"/>
        </w:rPr>
        <w:t>Section 43 of the MSA, and the Municipal Planning and Performance Regulations requires that Key Performance indicators be set. These indicators are then linked to the National Key Performance Area’s. This statistical information is then used by different Sectors to determine how well government is progressing in the implementation of National Policy.</w:t>
      </w:r>
    </w:p>
    <w:p w14:paraId="6E2AEAE6" w14:textId="77777777" w:rsidR="00D70604" w:rsidRPr="00D70604" w:rsidRDefault="00D70604" w:rsidP="00D70604">
      <w:pPr>
        <w:spacing w:before="120" w:after="120" w:line="240" w:lineRule="auto"/>
        <w:jc w:val="both"/>
        <w:rPr>
          <w:rFonts w:ascii="Arial" w:hAnsi="Arial" w:cs="Arial"/>
          <w:sz w:val="24"/>
          <w:szCs w:val="24"/>
        </w:rPr>
      </w:pPr>
      <w:bookmarkStart w:id="23" w:name="_Hlk188604442"/>
    </w:p>
    <w:p w14:paraId="7F827D0D" w14:textId="06847F65" w:rsidR="00D70604" w:rsidRPr="00DC3BBD" w:rsidRDefault="00D70604" w:rsidP="00D70604">
      <w:pPr>
        <w:pStyle w:val="Heading3"/>
      </w:pPr>
      <w:r>
        <w:t>CHALLENGES FOR QUARTER 2</w:t>
      </w:r>
    </w:p>
    <w:p w14:paraId="1FA05035" w14:textId="77777777" w:rsidR="00D70604" w:rsidRDefault="00D70604" w:rsidP="00D70604">
      <w:pPr>
        <w:rPr>
          <w:rFonts w:ascii="Arial" w:hAnsi="Arial" w:cs="Arial"/>
          <w:szCs w:val="24"/>
        </w:rPr>
      </w:pPr>
    </w:p>
    <w:bookmarkEnd w:id="23"/>
    <w:p w14:paraId="34A81FF0" w14:textId="12969CC5" w:rsidR="00D70604" w:rsidRDefault="00D70604" w:rsidP="00D70604">
      <w:pPr>
        <w:pStyle w:val="ListParagraph"/>
        <w:numPr>
          <w:ilvl w:val="0"/>
          <w:numId w:val="45"/>
        </w:numPr>
        <w:rPr>
          <w:rFonts w:ascii="Arial" w:hAnsi="Arial" w:cs="Arial"/>
          <w:szCs w:val="24"/>
        </w:rPr>
      </w:pPr>
      <w:r>
        <w:rPr>
          <w:rFonts w:ascii="Arial" w:hAnsi="Arial" w:cs="Arial"/>
          <w:szCs w:val="24"/>
        </w:rPr>
        <w:t>Lack of commitment by staff to update KPI’s</w:t>
      </w:r>
    </w:p>
    <w:p w14:paraId="6D754F94" w14:textId="362A7A67" w:rsidR="00D70604" w:rsidRDefault="00D70604" w:rsidP="00D70604">
      <w:pPr>
        <w:pStyle w:val="ListParagraph"/>
        <w:numPr>
          <w:ilvl w:val="0"/>
          <w:numId w:val="45"/>
        </w:numPr>
        <w:rPr>
          <w:rFonts w:ascii="Arial" w:hAnsi="Arial" w:cs="Arial"/>
          <w:szCs w:val="24"/>
        </w:rPr>
      </w:pPr>
      <w:r>
        <w:rPr>
          <w:rFonts w:ascii="Arial" w:hAnsi="Arial" w:cs="Arial"/>
          <w:szCs w:val="24"/>
        </w:rPr>
        <w:t xml:space="preserve">Late update by KPI owner. </w:t>
      </w:r>
    </w:p>
    <w:p w14:paraId="4F7F6BF4" w14:textId="77777777" w:rsidR="00C91F4B" w:rsidRPr="00D70604" w:rsidRDefault="00C91F4B" w:rsidP="00C91F4B">
      <w:pPr>
        <w:spacing w:before="120" w:after="120" w:line="240" w:lineRule="auto"/>
        <w:jc w:val="both"/>
        <w:rPr>
          <w:rFonts w:ascii="Arial" w:hAnsi="Arial" w:cs="Arial"/>
          <w:sz w:val="24"/>
          <w:szCs w:val="24"/>
        </w:rPr>
      </w:pPr>
    </w:p>
    <w:p w14:paraId="665D5F95" w14:textId="0EB6FDF0" w:rsidR="00C91F4B" w:rsidRPr="00EC5AFF" w:rsidRDefault="00C91F4B" w:rsidP="00C91F4B">
      <w:pPr>
        <w:pStyle w:val="Heading3"/>
        <w:rPr>
          <w:lang w:val="fr-FR"/>
        </w:rPr>
      </w:pPr>
      <w:r w:rsidRPr="00EC5AFF">
        <w:rPr>
          <w:lang w:val="fr-FR"/>
        </w:rPr>
        <w:t>PERFORMANCE COMMENT</w:t>
      </w:r>
    </w:p>
    <w:p w14:paraId="2728BF35" w14:textId="77777777" w:rsidR="00C91F4B" w:rsidRPr="00EC5AFF" w:rsidRDefault="00C91F4B" w:rsidP="00C91F4B">
      <w:pPr>
        <w:rPr>
          <w:rFonts w:ascii="Arial" w:hAnsi="Arial" w:cs="Arial"/>
          <w:szCs w:val="24"/>
          <w:lang w:val="fr-FR"/>
        </w:rPr>
      </w:pPr>
    </w:p>
    <w:p w14:paraId="42C83462" w14:textId="2FDF1762" w:rsidR="004A649B" w:rsidRPr="00EC5AFF" w:rsidRDefault="00C91F4B" w:rsidP="004A649B">
      <w:pPr>
        <w:rPr>
          <w:rFonts w:ascii="Arial" w:hAnsi="Arial" w:cs="Arial"/>
          <w:szCs w:val="24"/>
          <w:lang w:val="fr-FR"/>
        </w:rPr>
      </w:pPr>
      <w:r w:rsidRPr="00EC5AFF">
        <w:rPr>
          <w:rFonts w:ascii="Arial" w:hAnsi="Arial" w:cs="Arial"/>
          <w:szCs w:val="24"/>
          <w:lang w:val="fr-FR"/>
        </w:rPr>
        <w:t xml:space="preserve">Quarter 1 </w:t>
      </w:r>
      <w:r w:rsidR="00EC5AFF" w:rsidRPr="00EC5AFF">
        <w:rPr>
          <w:rFonts w:ascii="Arial" w:hAnsi="Arial" w:cs="Arial"/>
          <w:szCs w:val="24"/>
          <w:lang w:val="fr-FR"/>
        </w:rPr>
        <w:t>= 6</w:t>
      </w:r>
      <w:r w:rsidR="00EC5AFF">
        <w:rPr>
          <w:rFonts w:ascii="Arial" w:hAnsi="Arial" w:cs="Arial"/>
          <w:szCs w:val="24"/>
          <w:lang w:val="fr-FR"/>
        </w:rPr>
        <w:t>3</w:t>
      </w:r>
      <w:r w:rsidR="00EC5AFF" w:rsidRPr="00EC5AFF">
        <w:rPr>
          <w:rFonts w:ascii="Arial" w:hAnsi="Arial" w:cs="Arial"/>
          <w:szCs w:val="24"/>
          <w:lang w:val="fr-FR"/>
        </w:rPr>
        <w:t>% compliance</w:t>
      </w:r>
    </w:p>
    <w:p w14:paraId="330C6C44" w14:textId="10055C1D" w:rsidR="00EC5AFF" w:rsidRDefault="00EC5AFF" w:rsidP="004A649B">
      <w:pPr>
        <w:rPr>
          <w:rFonts w:ascii="Arial" w:hAnsi="Arial" w:cs="Arial"/>
          <w:szCs w:val="24"/>
          <w:lang w:val="fr-FR"/>
        </w:rPr>
      </w:pPr>
      <w:r w:rsidRPr="00EC5AFF">
        <w:rPr>
          <w:rFonts w:ascii="Arial" w:hAnsi="Arial" w:cs="Arial"/>
          <w:szCs w:val="24"/>
          <w:lang w:val="fr-FR"/>
        </w:rPr>
        <w:t>Quarter 2 =</w:t>
      </w:r>
      <w:r>
        <w:rPr>
          <w:rFonts w:ascii="Arial" w:hAnsi="Arial" w:cs="Arial"/>
          <w:szCs w:val="24"/>
          <w:lang w:val="fr-FR"/>
        </w:rPr>
        <w:t xml:space="preserve"> 65.2% compliance</w:t>
      </w:r>
    </w:p>
    <w:p w14:paraId="7AC15570" w14:textId="4EF6000B" w:rsidR="00EC5AFF" w:rsidRPr="00EC5AFF" w:rsidRDefault="00EC5AFF" w:rsidP="004A649B">
      <w:pPr>
        <w:rPr>
          <w:rFonts w:ascii="Arial" w:hAnsi="Arial" w:cs="Arial"/>
          <w:szCs w:val="24"/>
        </w:rPr>
      </w:pPr>
      <w:r w:rsidRPr="00EC5AFF">
        <w:rPr>
          <w:rFonts w:ascii="Arial" w:hAnsi="Arial" w:cs="Arial"/>
          <w:szCs w:val="24"/>
        </w:rPr>
        <w:t>Note : Debtors payment a</w:t>
      </w:r>
      <w:r>
        <w:rPr>
          <w:rFonts w:ascii="Arial" w:hAnsi="Arial" w:cs="Arial"/>
          <w:szCs w:val="24"/>
        </w:rPr>
        <w:t>chievement for Q1 was at 58%. Debtors payment achievement increased in Q2 to 71%.</w:t>
      </w:r>
    </w:p>
    <w:p w14:paraId="73BE0EFD" w14:textId="77777777" w:rsidR="00D70604" w:rsidRPr="00EC5AFF" w:rsidRDefault="00D70604" w:rsidP="00EC5AFF">
      <w:pPr>
        <w:rPr>
          <w:rFonts w:ascii="Arial" w:hAnsi="Arial" w:cs="Arial"/>
          <w:szCs w:val="24"/>
        </w:rPr>
      </w:pPr>
    </w:p>
    <w:p w14:paraId="59210E97" w14:textId="03801D66" w:rsidR="00EC5AFF" w:rsidRPr="00EC5AFF" w:rsidRDefault="00EC5AFF" w:rsidP="00EC5AFF">
      <w:pPr>
        <w:rPr>
          <w:rFonts w:ascii="Arial" w:hAnsi="Arial" w:cs="Arial"/>
          <w:szCs w:val="24"/>
        </w:rPr>
        <w:sectPr w:rsidR="00EC5AFF" w:rsidRPr="00EC5AFF" w:rsidSect="003E1C00">
          <w:type w:val="continuous"/>
          <w:pgSz w:w="11906" w:h="16838" w:code="9"/>
          <w:pgMar w:top="1440" w:right="926" w:bottom="1440" w:left="1440" w:header="709" w:footer="709" w:gutter="0"/>
          <w:cols w:space="708"/>
          <w:docGrid w:linePitch="360"/>
        </w:sectPr>
      </w:pPr>
    </w:p>
    <w:p w14:paraId="0F69D6FF" w14:textId="49C48165" w:rsidR="007B1CCB" w:rsidRPr="00312C74" w:rsidRDefault="007B1CCB" w:rsidP="0031371B">
      <w:pPr>
        <w:pStyle w:val="Heading1"/>
      </w:pPr>
      <w:bookmarkStart w:id="24" w:name="_Toc54178637"/>
      <w:bookmarkStart w:id="25" w:name="_Toc72303719"/>
      <w:bookmarkStart w:id="26" w:name="_Toc81231306"/>
      <w:bookmarkStart w:id="27" w:name="_Toc180746338"/>
      <w:r w:rsidRPr="00312C74">
        <w:t>CONCLUSION</w:t>
      </w:r>
      <w:bookmarkEnd w:id="24"/>
      <w:bookmarkEnd w:id="25"/>
      <w:bookmarkEnd w:id="26"/>
      <w:bookmarkEnd w:id="27"/>
    </w:p>
    <w:p w14:paraId="6A69A56A" w14:textId="77777777" w:rsidR="007B1CCB" w:rsidRPr="00312C74" w:rsidRDefault="007B1CCB" w:rsidP="007B1CCB">
      <w:pPr>
        <w:jc w:val="both"/>
        <w:rPr>
          <w:rFonts w:ascii="Arial" w:hAnsi="Arial" w:cs="Arial"/>
          <w:sz w:val="6"/>
          <w:szCs w:val="24"/>
        </w:rPr>
      </w:pPr>
    </w:p>
    <w:p w14:paraId="71FBB6DC" w14:textId="17E9D5E4" w:rsidR="007B1CCB" w:rsidRPr="00312C74" w:rsidRDefault="00DA1C12" w:rsidP="007B1CCB">
      <w:pPr>
        <w:jc w:val="both"/>
        <w:rPr>
          <w:rFonts w:ascii="Arial" w:hAnsi="Arial" w:cs="Arial"/>
          <w:sz w:val="24"/>
          <w:szCs w:val="24"/>
        </w:rPr>
      </w:pPr>
      <w:r>
        <w:rPr>
          <w:rFonts w:ascii="Arial" w:hAnsi="Arial" w:cs="Arial"/>
          <w:sz w:val="24"/>
          <w:szCs w:val="24"/>
        </w:rPr>
        <w:t>Q</w:t>
      </w:r>
      <w:r w:rsidR="008C2710">
        <w:rPr>
          <w:rFonts w:ascii="Arial" w:hAnsi="Arial" w:cs="Arial"/>
          <w:sz w:val="24"/>
          <w:szCs w:val="24"/>
        </w:rPr>
        <w:t>2</w:t>
      </w:r>
      <w:r w:rsidR="00EC4EED">
        <w:rPr>
          <w:rFonts w:ascii="Arial" w:hAnsi="Arial" w:cs="Arial"/>
          <w:sz w:val="24"/>
          <w:szCs w:val="24"/>
        </w:rPr>
        <w:t xml:space="preserve"> re</w:t>
      </w:r>
      <w:r w:rsidR="007B1CCB" w:rsidRPr="00312C74">
        <w:rPr>
          <w:rFonts w:ascii="Arial" w:hAnsi="Arial" w:cs="Arial"/>
          <w:sz w:val="24"/>
          <w:szCs w:val="24"/>
        </w:rPr>
        <w:t>sults of the performance can be summarised as follows:</w:t>
      </w:r>
    </w:p>
    <w:tbl>
      <w:tblPr>
        <w:tblW w:w="15220" w:type="dxa"/>
        <w:tblLook w:val="04A0" w:firstRow="1" w:lastRow="0" w:firstColumn="1" w:lastColumn="0" w:noHBand="0" w:noVBand="1"/>
      </w:tblPr>
      <w:tblGrid>
        <w:gridCol w:w="600"/>
        <w:gridCol w:w="3100"/>
        <w:gridCol w:w="3840"/>
        <w:gridCol w:w="3840"/>
        <w:gridCol w:w="3840"/>
      </w:tblGrid>
      <w:tr w:rsidR="00EC4EED" w:rsidRPr="00EC4EED" w14:paraId="37EC4DC3" w14:textId="77777777" w:rsidTr="00EC4EED">
        <w:trPr>
          <w:trHeight w:val="576"/>
        </w:trPr>
        <w:tc>
          <w:tcPr>
            <w:tcW w:w="600" w:type="dxa"/>
            <w:tcBorders>
              <w:top w:val="single" w:sz="4" w:space="0" w:color="000000"/>
              <w:left w:val="single" w:sz="4" w:space="0" w:color="000000"/>
              <w:bottom w:val="single" w:sz="4" w:space="0" w:color="000000"/>
              <w:right w:val="single" w:sz="4" w:space="0" w:color="000000"/>
            </w:tcBorders>
            <w:shd w:val="clear" w:color="000000" w:fill="999999"/>
            <w:hideMark/>
          </w:tcPr>
          <w:p w14:paraId="2DCFA6D9"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N/A</w:t>
            </w:r>
          </w:p>
        </w:tc>
        <w:tc>
          <w:tcPr>
            <w:tcW w:w="3100" w:type="dxa"/>
            <w:tcBorders>
              <w:top w:val="single" w:sz="4" w:space="0" w:color="000000"/>
              <w:left w:val="nil"/>
              <w:bottom w:val="single" w:sz="4" w:space="0" w:color="000000"/>
              <w:right w:val="single" w:sz="4" w:space="0" w:color="000000"/>
            </w:tcBorders>
            <w:shd w:val="clear" w:color="auto" w:fill="auto"/>
            <w:hideMark/>
          </w:tcPr>
          <w:p w14:paraId="1240A003"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Not Yet Applicable</w:t>
            </w:r>
          </w:p>
        </w:tc>
        <w:tc>
          <w:tcPr>
            <w:tcW w:w="3840" w:type="dxa"/>
            <w:tcBorders>
              <w:top w:val="single" w:sz="4" w:space="0" w:color="000000"/>
              <w:left w:val="nil"/>
              <w:bottom w:val="single" w:sz="4" w:space="0" w:color="000000"/>
              <w:right w:val="single" w:sz="4" w:space="0" w:color="000000"/>
            </w:tcBorders>
            <w:shd w:val="clear" w:color="auto" w:fill="auto"/>
            <w:hideMark/>
          </w:tcPr>
          <w:p w14:paraId="54474A03"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KPIs with no targets or actuals in the selected period.</w:t>
            </w:r>
          </w:p>
        </w:tc>
        <w:tc>
          <w:tcPr>
            <w:tcW w:w="3840" w:type="dxa"/>
            <w:tcBorders>
              <w:top w:val="single" w:sz="4" w:space="0" w:color="000000"/>
              <w:left w:val="nil"/>
              <w:bottom w:val="single" w:sz="4" w:space="0" w:color="000000"/>
              <w:right w:val="single" w:sz="4" w:space="0" w:color="000000"/>
            </w:tcBorders>
            <w:shd w:val="clear" w:color="auto" w:fill="auto"/>
            <w:hideMark/>
          </w:tcPr>
          <w:p w14:paraId="4DEF3466" w14:textId="6613C501" w:rsidR="00EC4EED" w:rsidRPr="00EC4EED" w:rsidRDefault="00C50606" w:rsidP="00EC4EED">
            <w:pPr>
              <w:spacing w:after="0" w:line="240" w:lineRule="auto"/>
              <w:jc w:val="right"/>
              <w:rPr>
                <w:rFonts w:ascii="Aptos Narrow" w:eastAsia="Times New Roman" w:hAnsi="Aptos Narrow" w:cs="Times New Roman"/>
                <w:color w:val="000000"/>
                <w:lang w:eastAsia="en-ZA"/>
              </w:rPr>
            </w:pPr>
            <w:r>
              <w:rPr>
                <w:rFonts w:ascii="Aptos Narrow" w:eastAsia="Times New Roman" w:hAnsi="Aptos Narrow" w:cs="Times New Roman"/>
                <w:color w:val="000000"/>
                <w:lang w:eastAsia="en-ZA"/>
              </w:rPr>
              <w:t>12</w:t>
            </w:r>
          </w:p>
        </w:tc>
        <w:tc>
          <w:tcPr>
            <w:tcW w:w="3840" w:type="dxa"/>
            <w:tcBorders>
              <w:top w:val="nil"/>
              <w:left w:val="nil"/>
              <w:bottom w:val="nil"/>
              <w:right w:val="nil"/>
            </w:tcBorders>
            <w:shd w:val="clear" w:color="auto" w:fill="auto"/>
            <w:noWrap/>
            <w:vAlign w:val="bottom"/>
            <w:hideMark/>
          </w:tcPr>
          <w:p w14:paraId="6CBA08B1"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6DB6854E" w14:textId="77777777" w:rsidTr="00EC4EED">
        <w:trPr>
          <w:trHeight w:val="288"/>
        </w:trPr>
        <w:tc>
          <w:tcPr>
            <w:tcW w:w="600" w:type="dxa"/>
            <w:tcBorders>
              <w:top w:val="nil"/>
              <w:left w:val="single" w:sz="4" w:space="0" w:color="000000"/>
              <w:bottom w:val="single" w:sz="4" w:space="0" w:color="000000"/>
              <w:right w:val="single" w:sz="4" w:space="0" w:color="000000"/>
            </w:tcBorders>
            <w:shd w:val="clear" w:color="000000" w:fill="CC0001"/>
            <w:hideMark/>
          </w:tcPr>
          <w:p w14:paraId="7F6FF532"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R</w:t>
            </w:r>
          </w:p>
        </w:tc>
        <w:tc>
          <w:tcPr>
            <w:tcW w:w="3100" w:type="dxa"/>
            <w:tcBorders>
              <w:top w:val="nil"/>
              <w:left w:val="nil"/>
              <w:bottom w:val="single" w:sz="4" w:space="0" w:color="000000"/>
              <w:right w:val="single" w:sz="4" w:space="0" w:color="000000"/>
            </w:tcBorders>
            <w:shd w:val="clear" w:color="auto" w:fill="auto"/>
            <w:hideMark/>
          </w:tcPr>
          <w:p w14:paraId="051E8AAF"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Not Met</w:t>
            </w:r>
          </w:p>
        </w:tc>
        <w:tc>
          <w:tcPr>
            <w:tcW w:w="3840" w:type="dxa"/>
            <w:tcBorders>
              <w:top w:val="nil"/>
              <w:left w:val="nil"/>
              <w:bottom w:val="single" w:sz="4" w:space="0" w:color="000000"/>
              <w:right w:val="single" w:sz="4" w:space="0" w:color="000000"/>
            </w:tcBorders>
            <w:shd w:val="clear" w:color="auto" w:fill="auto"/>
            <w:hideMark/>
          </w:tcPr>
          <w:p w14:paraId="7FBB1770"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0% &lt;= Actual/Target &lt;= 74.999%</w:t>
            </w:r>
          </w:p>
        </w:tc>
        <w:tc>
          <w:tcPr>
            <w:tcW w:w="3840" w:type="dxa"/>
            <w:tcBorders>
              <w:top w:val="nil"/>
              <w:left w:val="nil"/>
              <w:bottom w:val="single" w:sz="4" w:space="0" w:color="000000"/>
              <w:right w:val="single" w:sz="4" w:space="0" w:color="000000"/>
            </w:tcBorders>
            <w:shd w:val="clear" w:color="auto" w:fill="auto"/>
            <w:hideMark/>
          </w:tcPr>
          <w:p w14:paraId="477F28E9" w14:textId="6A9E81A2" w:rsidR="00EC4EED" w:rsidRPr="00EC4EED" w:rsidRDefault="00C50606" w:rsidP="00EC4EED">
            <w:pPr>
              <w:spacing w:after="0" w:line="240" w:lineRule="auto"/>
              <w:jc w:val="right"/>
              <w:rPr>
                <w:rFonts w:ascii="Aptos Narrow" w:eastAsia="Times New Roman" w:hAnsi="Aptos Narrow" w:cs="Times New Roman"/>
                <w:color w:val="000000"/>
                <w:lang w:eastAsia="en-ZA"/>
              </w:rPr>
            </w:pPr>
            <w:r>
              <w:rPr>
                <w:rFonts w:ascii="Aptos Narrow" w:eastAsia="Times New Roman" w:hAnsi="Aptos Narrow" w:cs="Times New Roman"/>
                <w:color w:val="000000"/>
                <w:lang w:eastAsia="en-ZA"/>
              </w:rPr>
              <w:t>8</w:t>
            </w:r>
          </w:p>
        </w:tc>
        <w:tc>
          <w:tcPr>
            <w:tcW w:w="3840" w:type="dxa"/>
            <w:tcBorders>
              <w:top w:val="nil"/>
              <w:left w:val="nil"/>
              <w:bottom w:val="nil"/>
              <w:right w:val="nil"/>
            </w:tcBorders>
            <w:shd w:val="clear" w:color="auto" w:fill="auto"/>
            <w:noWrap/>
            <w:vAlign w:val="bottom"/>
            <w:hideMark/>
          </w:tcPr>
          <w:p w14:paraId="74514AFB"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4F69924C" w14:textId="77777777" w:rsidTr="00EC4EED">
        <w:trPr>
          <w:trHeight w:val="288"/>
        </w:trPr>
        <w:tc>
          <w:tcPr>
            <w:tcW w:w="600" w:type="dxa"/>
            <w:tcBorders>
              <w:top w:val="nil"/>
              <w:left w:val="single" w:sz="4" w:space="0" w:color="000000"/>
              <w:bottom w:val="single" w:sz="4" w:space="0" w:color="000000"/>
              <w:right w:val="single" w:sz="4" w:space="0" w:color="000000"/>
            </w:tcBorders>
            <w:shd w:val="clear" w:color="000000" w:fill="FE9900"/>
            <w:hideMark/>
          </w:tcPr>
          <w:p w14:paraId="0E24E093"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O</w:t>
            </w:r>
          </w:p>
        </w:tc>
        <w:tc>
          <w:tcPr>
            <w:tcW w:w="3100" w:type="dxa"/>
            <w:tcBorders>
              <w:top w:val="nil"/>
              <w:left w:val="nil"/>
              <w:bottom w:val="single" w:sz="4" w:space="0" w:color="000000"/>
              <w:right w:val="single" w:sz="4" w:space="0" w:color="000000"/>
            </w:tcBorders>
            <w:shd w:val="clear" w:color="auto" w:fill="auto"/>
            <w:hideMark/>
          </w:tcPr>
          <w:p w14:paraId="37C815C9"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Almost Met</w:t>
            </w:r>
          </w:p>
        </w:tc>
        <w:tc>
          <w:tcPr>
            <w:tcW w:w="3840" w:type="dxa"/>
            <w:tcBorders>
              <w:top w:val="nil"/>
              <w:left w:val="nil"/>
              <w:bottom w:val="single" w:sz="4" w:space="0" w:color="000000"/>
              <w:right w:val="single" w:sz="4" w:space="0" w:color="000000"/>
            </w:tcBorders>
            <w:shd w:val="clear" w:color="auto" w:fill="auto"/>
            <w:hideMark/>
          </w:tcPr>
          <w:p w14:paraId="11F88435"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75.000% &lt;= Actual/Target &lt;= 99.999%</w:t>
            </w:r>
          </w:p>
        </w:tc>
        <w:tc>
          <w:tcPr>
            <w:tcW w:w="3840" w:type="dxa"/>
            <w:tcBorders>
              <w:top w:val="nil"/>
              <w:left w:val="nil"/>
              <w:bottom w:val="single" w:sz="4" w:space="0" w:color="000000"/>
              <w:right w:val="single" w:sz="4" w:space="0" w:color="000000"/>
            </w:tcBorders>
            <w:shd w:val="clear" w:color="auto" w:fill="auto"/>
            <w:hideMark/>
          </w:tcPr>
          <w:p w14:paraId="05F4A3F9" w14:textId="7647D322" w:rsidR="00EC4EED" w:rsidRPr="00EC4EED" w:rsidRDefault="00C50606" w:rsidP="00EC4EED">
            <w:pPr>
              <w:spacing w:after="0" w:line="240" w:lineRule="auto"/>
              <w:jc w:val="right"/>
              <w:rPr>
                <w:rFonts w:ascii="Aptos Narrow" w:eastAsia="Times New Roman" w:hAnsi="Aptos Narrow" w:cs="Times New Roman"/>
                <w:color w:val="000000"/>
                <w:lang w:eastAsia="en-ZA"/>
              </w:rPr>
            </w:pPr>
            <w:r>
              <w:rPr>
                <w:rFonts w:ascii="Aptos Narrow" w:eastAsia="Times New Roman" w:hAnsi="Aptos Narrow" w:cs="Times New Roman"/>
                <w:color w:val="000000"/>
                <w:lang w:eastAsia="en-ZA"/>
              </w:rPr>
              <w:t>2</w:t>
            </w:r>
          </w:p>
        </w:tc>
        <w:tc>
          <w:tcPr>
            <w:tcW w:w="3840" w:type="dxa"/>
            <w:tcBorders>
              <w:top w:val="nil"/>
              <w:left w:val="nil"/>
              <w:bottom w:val="nil"/>
              <w:right w:val="nil"/>
            </w:tcBorders>
            <w:shd w:val="clear" w:color="auto" w:fill="auto"/>
            <w:noWrap/>
            <w:vAlign w:val="bottom"/>
            <w:hideMark/>
          </w:tcPr>
          <w:p w14:paraId="15433C36"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122E3FDB" w14:textId="77777777" w:rsidTr="00EC4EED">
        <w:trPr>
          <w:trHeight w:val="576"/>
        </w:trPr>
        <w:tc>
          <w:tcPr>
            <w:tcW w:w="600" w:type="dxa"/>
            <w:tcBorders>
              <w:top w:val="nil"/>
              <w:left w:val="single" w:sz="4" w:space="0" w:color="000000"/>
              <w:bottom w:val="single" w:sz="4" w:space="0" w:color="000000"/>
              <w:right w:val="single" w:sz="4" w:space="0" w:color="000000"/>
            </w:tcBorders>
            <w:shd w:val="clear" w:color="000000" w:fill="009900"/>
            <w:hideMark/>
          </w:tcPr>
          <w:p w14:paraId="201E4DAB"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G</w:t>
            </w:r>
          </w:p>
        </w:tc>
        <w:tc>
          <w:tcPr>
            <w:tcW w:w="3100" w:type="dxa"/>
            <w:tcBorders>
              <w:top w:val="nil"/>
              <w:left w:val="nil"/>
              <w:bottom w:val="single" w:sz="4" w:space="0" w:color="000000"/>
              <w:right w:val="single" w:sz="4" w:space="0" w:color="000000"/>
            </w:tcBorders>
            <w:shd w:val="clear" w:color="auto" w:fill="auto"/>
            <w:hideMark/>
          </w:tcPr>
          <w:p w14:paraId="45966DB7"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Met</w:t>
            </w:r>
          </w:p>
        </w:tc>
        <w:tc>
          <w:tcPr>
            <w:tcW w:w="3840" w:type="dxa"/>
            <w:tcBorders>
              <w:top w:val="nil"/>
              <w:left w:val="nil"/>
              <w:bottom w:val="single" w:sz="4" w:space="0" w:color="000000"/>
              <w:right w:val="single" w:sz="4" w:space="0" w:color="000000"/>
            </w:tcBorders>
            <w:shd w:val="clear" w:color="auto" w:fill="auto"/>
            <w:hideMark/>
          </w:tcPr>
          <w:p w14:paraId="36FBE218"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Actual meets Target (Actual/Target = 100%)</w:t>
            </w:r>
          </w:p>
        </w:tc>
        <w:tc>
          <w:tcPr>
            <w:tcW w:w="3840" w:type="dxa"/>
            <w:tcBorders>
              <w:top w:val="nil"/>
              <w:left w:val="nil"/>
              <w:bottom w:val="single" w:sz="4" w:space="0" w:color="000000"/>
              <w:right w:val="single" w:sz="4" w:space="0" w:color="000000"/>
            </w:tcBorders>
            <w:shd w:val="clear" w:color="auto" w:fill="auto"/>
            <w:hideMark/>
          </w:tcPr>
          <w:p w14:paraId="781D79AC"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3</w:t>
            </w:r>
          </w:p>
        </w:tc>
        <w:tc>
          <w:tcPr>
            <w:tcW w:w="3840" w:type="dxa"/>
            <w:tcBorders>
              <w:top w:val="nil"/>
              <w:left w:val="nil"/>
              <w:bottom w:val="nil"/>
              <w:right w:val="nil"/>
            </w:tcBorders>
            <w:shd w:val="clear" w:color="auto" w:fill="auto"/>
            <w:noWrap/>
            <w:vAlign w:val="bottom"/>
            <w:hideMark/>
          </w:tcPr>
          <w:p w14:paraId="1DD1BC37"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10A71D9E" w14:textId="77777777" w:rsidTr="00EC4EED">
        <w:trPr>
          <w:trHeight w:val="288"/>
        </w:trPr>
        <w:tc>
          <w:tcPr>
            <w:tcW w:w="600" w:type="dxa"/>
            <w:tcBorders>
              <w:top w:val="nil"/>
              <w:left w:val="single" w:sz="4" w:space="0" w:color="000000"/>
              <w:bottom w:val="single" w:sz="4" w:space="0" w:color="000000"/>
              <w:right w:val="single" w:sz="4" w:space="0" w:color="000000"/>
            </w:tcBorders>
            <w:shd w:val="clear" w:color="000000" w:fill="005500"/>
            <w:hideMark/>
          </w:tcPr>
          <w:p w14:paraId="13547F0A"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G2</w:t>
            </w:r>
          </w:p>
        </w:tc>
        <w:tc>
          <w:tcPr>
            <w:tcW w:w="3100" w:type="dxa"/>
            <w:tcBorders>
              <w:top w:val="nil"/>
              <w:left w:val="nil"/>
              <w:bottom w:val="single" w:sz="4" w:space="0" w:color="000000"/>
              <w:right w:val="single" w:sz="4" w:space="0" w:color="000000"/>
            </w:tcBorders>
            <w:shd w:val="clear" w:color="auto" w:fill="auto"/>
            <w:hideMark/>
          </w:tcPr>
          <w:p w14:paraId="2B9A6B3D"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Well Met</w:t>
            </w:r>
          </w:p>
        </w:tc>
        <w:tc>
          <w:tcPr>
            <w:tcW w:w="3840" w:type="dxa"/>
            <w:tcBorders>
              <w:top w:val="nil"/>
              <w:left w:val="nil"/>
              <w:bottom w:val="single" w:sz="4" w:space="0" w:color="000000"/>
              <w:right w:val="single" w:sz="4" w:space="0" w:color="000000"/>
            </w:tcBorders>
            <w:shd w:val="clear" w:color="auto" w:fill="auto"/>
            <w:hideMark/>
          </w:tcPr>
          <w:p w14:paraId="5E10DD5F"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100.001% &lt;= Actual/Target &lt;= 149.999%</w:t>
            </w:r>
          </w:p>
        </w:tc>
        <w:tc>
          <w:tcPr>
            <w:tcW w:w="3840" w:type="dxa"/>
            <w:tcBorders>
              <w:top w:val="nil"/>
              <w:left w:val="nil"/>
              <w:bottom w:val="single" w:sz="4" w:space="0" w:color="000000"/>
              <w:right w:val="single" w:sz="4" w:space="0" w:color="000000"/>
            </w:tcBorders>
            <w:shd w:val="clear" w:color="auto" w:fill="auto"/>
            <w:hideMark/>
          </w:tcPr>
          <w:p w14:paraId="48097A06" w14:textId="1A33B67B" w:rsidR="00EC4EED" w:rsidRPr="00EC4EED" w:rsidRDefault="00C50606" w:rsidP="00EC4EED">
            <w:pPr>
              <w:spacing w:after="0" w:line="240" w:lineRule="auto"/>
              <w:jc w:val="right"/>
              <w:rPr>
                <w:rFonts w:ascii="Aptos Narrow" w:eastAsia="Times New Roman" w:hAnsi="Aptos Narrow" w:cs="Times New Roman"/>
                <w:color w:val="000000"/>
                <w:lang w:eastAsia="en-ZA"/>
              </w:rPr>
            </w:pPr>
            <w:r>
              <w:rPr>
                <w:rFonts w:ascii="Aptos Narrow" w:eastAsia="Times New Roman" w:hAnsi="Aptos Narrow" w:cs="Times New Roman"/>
                <w:color w:val="000000"/>
                <w:lang w:eastAsia="en-ZA"/>
              </w:rPr>
              <w:t>9</w:t>
            </w:r>
          </w:p>
        </w:tc>
        <w:tc>
          <w:tcPr>
            <w:tcW w:w="3840" w:type="dxa"/>
            <w:tcBorders>
              <w:top w:val="nil"/>
              <w:left w:val="nil"/>
              <w:bottom w:val="nil"/>
              <w:right w:val="nil"/>
            </w:tcBorders>
            <w:shd w:val="clear" w:color="auto" w:fill="auto"/>
            <w:noWrap/>
            <w:vAlign w:val="bottom"/>
            <w:hideMark/>
          </w:tcPr>
          <w:p w14:paraId="2E9B2354"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036FF626" w14:textId="77777777" w:rsidTr="00EC4EED">
        <w:trPr>
          <w:trHeight w:val="288"/>
        </w:trPr>
        <w:tc>
          <w:tcPr>
            <w:tcW w:w="600" w:type="dxa"/>
            <w:tcBorders>
              <w:top w:val="nil"/>
              <w:left w:val="single" w:sz="4" w:space="0" w:color="000000"/>
              <w:bottom w:val="single" w:sz="4" w:space="0" w:color="000000"/>
              <w:right w:val="single" w:sz="4" w:space="0" w:color="000000"/>
            </w:tcBorders>
            <w:shd w:val="clear" w:color="000000" w:fill="000077"/>
            <w:hideMark/>
          </w:tcPr>
          <w:p w14:paraId="7627F08A" w14:textId="77777777" w:rsidR="00EC4EED" w:rsidRPr="00EC4EED" w:rsidRDefault="00EC4EED" w:rsidP="00EC4EED">
            <w:pPr>
              <w:spacing w:after="0" w:line="240" w:lineRule="auto"/>
              <w:jc w:val="center"/>
              <w:rPr>
                <w:rFonts w:ascii="Aptos Narrow" w:eastAsia="Times New Roman" w:hAnsi="Aptos Narrow" w:cs="Times New Roman"/>
                <w:color w:val="FFFFFF"/>
                <w:lang w:eastAsia="en-ZA"/>
              </w:rPr>
            </w:pPr>
            <w:r w:rsidRPr="00EC4EED">
              <w:rPr>
                <w:rFonts w:ascii="Aptos Narrow" w:eastAsia="Times New Roman" w:hAnsi="Aptos Narrow" w:cs="Times New Roman"/>
                <w:color w:val="FFFFFF"/>
                <w:lang w:eastAsia="en-ZA"/>
              </w:rPr>
              <w:t>B</w:t>
            </w:r>
          </w:p>
        </w:tc>
        <w:tc>
          <w:tcPr>
            <w:tcW w:w="3100" w:type="dxa"/>
            <w:tcBorders>
              <w:top w:val="nil"/>
              <w:left w:val="nil"/>
              <w:bottom w:val="single" w:sz="4" w:space="0" w:color="000000"/>
              <w:right w:val="single" w:sz="4" w:space="0" w:color="000000"/>
            </w:tcBorders>
            <w:shd w:val="clear" w:color="auto" w:fill="auto"/>
            <w:hideMark/>
          </w:tcPr>
          <w:p w14:paraId="7543DC89"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KPI Extremely Well Met</w:t>
            </w:r>
          </w:p>
        </w:tc>
        <w:tc>
          <w:tcPr>
            <w:tcW w:w="3840" w:type="dxa"/>
            <w:tcBorders>
              <w:top w:val="nil"/>
              <w:left w:val="nil"/>
              <w:bottom w:val="single" w:sz="4" w:space="0" w:color="000000"/>
              <w:right w:val="single" w:sz="4" w:space="0" w:color="000000"/>
            </w:tcBorders>
            <w:shd w:val="clear" w:color="auto" w:fill="auto"/>
            <w:hideMark/>
          </w:tcPr>
          <w:p w14:paraId="47705E18"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150.000% &lt;= Actual/Target</w:t>
            </w:r>
          </w:p>
        </w:tc>
        <w:tc>
          <w:tcPr>
            <w:tcW w:w="3840" w:type="dxa"/>
            <w:tcBorders>
              <w:top w:val="nil"/>
              <w:left w:val="nil"/>
              <w:bottom w:val="single" w:sz="4" w:space="0" w:color="000000"/>
              <w:right w:val="single" w:sz="4" w:space="0" w:color="000000"/>
            </w:tcBorders>
            <w:shd w:val="clear" w:color="auto" w:fill="auto"/>
            <w:hideMark/>
          </w:tcPr>
          <w:p w14:paraId="3CD68EF8" w14:textId="219971B6" w:rsidR="00EC4EED" w:rsidRPr="00EC4EED" w:rsidRDefault="00C50606" w:rsidP="00EC4EED">
            <w:pPr>
              <w:spacing w:after="0" w:line="240" w:lineRule="auto"/>
              <w:jc w:val="right"/>
              <w:rPr>
                <w:rFonts w:ascii="Aptos Narrow" w:eastAsia="Times New Roman" w:hAnsi="Aptos Narrow" w:cs="Times New Roman"/>
                <w:color w:val="000000"/>
                <w:lang w:eastAsia="en-ZA"/>
              </w:rPr>
            </w:pPr>
            <w:r>
              <w:rPr>
                <w:rFonts w:ascii="Aptos Narrow" w:eastAsia="Times New Roman" w:hAnsi="Aptos Narrow" w:cs="Times New Roman"/>
                <w:color w:val="000000"/>
                <w:lang w:eastAsia="en-ZA"/>
              </w:rPr>
              <w:t>1</w:t>
            </w:r>
          </w:p>
        </w:tc>
        <w:tc>
          <w:tcPr>
            <w:tcW w:w="3840" w:type="dxa"/>
            <w:tcBorders>
              <w:top w:val="nil"/>
              <w:left w:val="nil"/>
              <w:bottom w:val="nil"/>
              <w:right w:val="nil"/>
            </w:tcBorders>
            <w:shd w:val="clear" w:color="auto" w:fill="auto"/>
            <w:noWrap/>
            <w:vAlign w:val="bottom"/>
            <w:hideMark/>
          </w:tcPr>
          <w:p w14:paraId="0E37882E" w14:textId="77777777" w:rsidR="00EC4EED" w:rsidRPr="00EC4EED" w:rsidRDefault="00EC4EED" w:rsidP="00EC4EED">
            <w:pPr>
              <w:spacing w:after="0" w:line="240" w:lineRule="auto"/>
              <w:jc w:val="right"/>
              <w:rPr>
                <w:rFonts w:ascii="Aptos Narrow" w:eastAsia="Times New Roman" w:hAnsi="Aptos Narrow" w:cs="Times New Roman"/>
                <w:color w:val="000000"/>
                <w:lang w:eastAsia="en-ZA"/>
              </w:rPr>
            </w:pPr>
          </w:p>
        </w:tc>
      </w:tr>
      <w:tr w:rsidR="00EC4EED" w:rsidRPr="00EC4EED" w14:paraId="7149C870" w14:textId="77777777" w:rsidTr="00EC4EED">
        <w:trPr>
          <w:trHeight w:val="288"/>
        </w:trPr>
        <w:tc>
          <w:tcPr>
            <w:tcW w:w="600" w:type="dxa"/>
            <w:tcBorders>
              <w:top w:val="nil"/>
              <w:left w:val="single" w:sz="4" w:space="0" w:color="000000"/>
              <w:bottom w:val="single" w:sz="4" w:space="0" w:color="000000"/>
              <w:right w:val="single" w:sz="4" w:space="0" w:color="000000"/>
            </w:tcBorders>
            <w:shd w:val="clear" w:color="auto" w:fill="auto"/>
            <w:hideMark/>
          </w:tcPr>
          <w:p w14:paraId="7942D470"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 </w:t>
            </w:r>
          </w:p>
        </w:tc>
        <w:tc>
          <w:tcPr>
            <w:tcW w:w="3100" w:type="dxa"/>
            <w:tcBorders>
              <w:top w:val="nil"/>
              <w:left w:val="nil"/>
              <w:bottom w:val="single" w:sz="4" w:space="0" w:color="000000"/>
              <w:right w:val="single" w:sz="4" w:space="0" w:color="000000"/>
            </w:tcBorders>
            <w:shd w:val="clear" w:color="auto" w:fill="auto"/>
            <w:hideMark/>
          </w:tcPr>
          <w:p w14:paraId="13DCB537" w14:textId="77777777" w:rsidR="00EC4EED" w:rsidRPr="00EC4EED" w:rsidRDefault="00EC4EED" w:rsidP="00EC4EED">
            <w:pPr>
              <w:spacing w:after="0" w:line="240" w:lineRule="auto"/>
              <w:jc w:val="right"/>
              <w:rPr>
                <w:rFonts w:ascii="Aptos Narrow" w:eastAsia="Times New Roman" w:hAnsi="Aptos Narrow" w:cs="Times New Roman"/>
                <w:b/>
                <w:bCs/>
                <w:color w:val="000000"/>
                <w:lang w:eastAsia="en-ZA"/>
              </w:rPr>
            </w:pPr>
            <w:r w:rsidRPr="00EC4EED">
              <w:rPr>
                <w:rFonts w:ascii="Aptos Narrow" w:eastAsia="Times New Roman" w:hAnsi="Aptos Narrow" w:cs="Times New Roman"/>
                <w:b/>
                <w:bCs/>
                <w:color w:val="000000"/>
                <w:lang w:eastAsia="en-ZA"/>
              </w:rPr>
              <w:t>Total KPIs:</w:t>
            </w:r>
          </w:p>
        </w:tc>
        <w:tc>
          <w:tcPr>
            <w:tcW w:w="3840" w:type="dxa"/>
            <w:tcBorders>
              <w:top w:val="nil"/>
              <w:left w:val="nil"/>
              <w:bottom w:val="single" w:sz="4" w:space="0" w:color="000000"/>
              <w:right w:val="single" w:sz="4" w:space="0" w:color="000000"/>
            </w:tcBorders>
            <w:shd w:val="clear" w:color="auto" w:fill="auto"/>
            <w:hideMark/>
          </w:tcPr>
          <w:p w14:paraId="1520C172" w14:textId="77777777" w:rsidR="00EC4EED" w:rsidRPr="00EC4EED" w:rsidRDefault="00EC4EED" w:rsidP="00EC4EED">
            <w:pPr>
              <w:spacing w:after="0" w:line="240" w:lineRule="auto"/>
              <w:rPr>
                <w:rFonts w:ascii="Aptos Narrow" w:eastAsia="Times New Roman" w:hAnsi="Aptos Narrow" w:cs="Times New Roman"/>
                <w:color w:val="000000"/>
                <w:lang w:eastAsia="en-ZA"/>
              </w:rPr>
            </w:pPr>
            <w:r w:rsidRPr="00EC4EED">
              <w:rPr>
                <w:rFonts w:ascii="Aptos Narrow" w:eastAsia="Times New Roman" w:hAnsi="Aptos Narrow" w:cs="Times New Roman"/>
                <w:color w:val="000000"/>
                <w:lang w:eastAsia="en-ZA"/>
              </w:rPr>
              <w:t> </w:t>
            </w:r>
          </w:p>
        </w:tc>
        <w:tc>
          <w:tcPr>
            <w:tcW w:w="3840" w:type="dxa"/>
            <w:tcBorders>
              <w:top w:val="nil"/>
              <w:left w:val="nil"/>
              <w:bottom w:val="single" w:sz="4" w:space="0" w:color="000000"/>
              <w:right w:val="single" w:sz="4" w:space="0" w:color="000000"/>
            </w:tcBorders>
            <w:shd w:val="clear" w:color="auto" w:fill="auto"/>
            <w:hideMark/>
          </w:tcPr>
          <w:p w14:paraId="24A9EA50" w14:textId="77777777" w:rsidR="00EC4EED" w:rsidRPr="00EC4EED" w:rsidRDefault="00EC4EED" w:rsidP="00EC4EED">
            <w:pPr>
              <w:spacing w:after="0" w:line="240" w:lineRule="auto"/>
              <w:jc w:val="right"/>
              <w:rPr>
                <w:rFonts w:ascii="Aptos Narrow" w:eastAsia="Times New Roman" w:hAnsi="Aptos Narrow" w:cs="Times New Roman"/>
                <w:b/>
                <w:bCs/>
                <w:color w:val="000000"/>
                <w:lang w:eastAsia="en-ZA"/>
              </w:rPr>
            </w:pPr>
            <w:r w:rsidRPr="00EC4EED">
              <w:rPr>
                <w:rFonts w:ascii="Aptos Narrow" w:eastAsia="Times New Roman" w:hAnsi="Aptos Narrow" w:cs="Times New Roman"/>
                <w:b/>
                <w:bCs/>
                <w:color w:val="000000"/>
                <w:lang w:eastAsia="en-ZA"/>
              </w:rPr>
              <w:t>35</w:t>
            </w:r>
          </w:p>
        </w:tc>
        <w:tc>
          <w:tcPr>
            <w:tcW w:w="3840" w:type="dxa"/>
            <w:tcBorders>
              <w:top w:val="nil"/>
              <w:left w:val="nil"/>
              <w:bottom w:val="nil"/>
              <w:right w:val="nil"/>
            </w:tcBorders>
            <w:shd w:val="clear" w:color="auto" w:fill="auto"/>
            <w:noWrap/>
            <w:vAlign w:val="bottom"/>
            <w:hideMark/>
          </w:tcPr>
          <w:p w14:paraId="258EC5DF" w14:textId="77777777" w:rsidR="00EC4EED" w:rsidRPr="00EC4EED" w:rsidRDefault="00EC4EED" w:rsidP="00EC4EED">
            <w:pPr>
              <w:spacing w:after="0" w:line="240" w:lineRule="auto"/>
              <w:jc w:val="right"/>
              <w:rPr>
                <w:rFonts w:ascii="Aptos Narrow" w:eastAsia="Times New Roman" w:hAnsi="Aptos Narrow" w:cs="Times New Roman"/>
                <w:b/>
                <w:bCs/>
                <w:color w:val="000000"/>
                <w:lang w:eastAsia="en-ZA"/>
              </w:rPr>
            </w:pPr>
          </w:p>
        </w:tc>
      </w:tr>
    </w:tbl>
    <w:p w14:paraId="481097D7" w14:textId="77777777" w:rsidR="003442DC" w:rsidRPr="00812F0C" w:rsidRDefault="003442DC" w:rsidP="007B1CCB">
      <w:pPr>
        <w:pBdr>
          <w:bottom w:val="single" w:sz="4" w:space="1" w:color="auto"/>
        </w:pBdr>
        <w:rPr>
          <w:rFonts w:ascii="Arial" w:hAnsi="Arial" w:cs="Arial"/>
          <w:sz w:val="24"/>
        </w:rPr>
      </w:pPr>
    </w:p>
    <w:p w14:paraId="52BBB9CB" w14:textId="6EED4004" w:rsidR="007B1CCB" w:rsidRPr="00812F0C" w:rsidRDefault="007B1CCB" w:rsidP="007B1CCB">
      <w:pPr>
        <w:pBdr>
          <w:bottom w:val="single" w:sz="4" w:space="1" w:color="auto"/>
        </w:pBdr>
        <w:rPr>
          <w:rFonts w:ascii="Arial" w:hAnsi="Arial" w:cs="Arial"/>
          <w:sz w:val="24"/>
        </w:rPr>
      </w:pPr>
      <w:r w:rsidRPr="00812F0C">
        <w:rPr>
          <w:rFonts w:ascii="Arial" w:hAnsi="Arial" w:cs="Arial"/>
          <w:sz w:val="30"/>
          <w:szCs w:val="30"/>
        </w:rPr>
        <w:t>The overall performance of the organisation</w:t>
      </w:r>
      <w:r w:rsidR="00812F0C" w:rsidRPr="00812F0C">
        <w:rPr>
          <w:rFonts w:ascii="Arial" w:hAnsi="Arial" w:cs="Arial"/>
          <w:sz w:val="30"/>
          <w:szCs w:val="30"/>
        </w:rPr>
        <w:t xml:space="preserve"> on strategic level</w:t>
      </w:r>
      <w:r w:rsidRPr="00812F0C">
        <w:rPr>
          <w:rFonts w:ascii="Arial" w:hAnsi="Arial" w:cs="Arial"/>
          <w:sz w:val="30"/>
          <w:szCs w:val="30"/>
        </w:rPr>
        <w:t xml:space="preserve"> is  = </w:t>
      </w:r>
      <w:r w:rsidR="00EC4EED">
        <w:rPr>
          <w:rFonts w:ascii="Arial" w:hAnsi="Arial" w:cs="Arial"/>
          <w:b/>
          <w:sz w:val="30"/>
          <w:szCs w:val="30"/>
          <w:u w:val="single"/>
        </w:rPr>
        <w:t>6</w:t>
      </w:r>
      <w:r w:rsidR="00C91F4B">
        <w:rPr>
          <w:rFonts w:ascii="Arial" w:hAnsi="Arial" w:cs="Arial"/>
          <w:b/>
          <w:sz w:val="30"/>
          <w:szCs w:val="30"/>
          <w:u w:val="single"/>
        </w:rPr>
        <w:t>5</w:t>
      </w:r>
      <w:r w:rsidR="00EC4EED">
        <w:rPr>
          <w:rFonts w:ascii="Arial" w:hAnsi="Arial" w:cs="Arial"/>
          <w:b/>
          <w:sz w:val="30"/>
          <w:szCs w:val="30"/>
          <w:u w:val="single"/>
        </w:rPr>
        <w:t>.</w:t>
      </w:r>
      <w:r w:rsidR="00C91F4B">
        <w:rPr>
          <w:rFonts w:ascii="Arial" w:hAnsi="Arial" w:cs="Arial"/>
          <w:b/>
          <w:sz w:val="30"/>
          <w:szCs w:val="30"/>
          <w:u w:val="single"/>
        </w:rPr>
        <w:t>2 %</w:t>
      </w:r>
      <w:r w:rsidRPr="00812F0C">
        <w:rPr>
          <w:rFonts w:ascii="Arial" w:hAnsi="Arial" w:cs="Arial"/>
          <w:b/>
          <w:sz w:val="30"/>
          <w:szCs w:val="30"/>
          <w:u w:val="single"/>
        </w:rPr>
        <w:t xml:space="preserve"> Achieved</w:t>
      </w:r>
      <w:r w:rsidR="003442DC" w:rsidRPr="00812F0C">
        <w:rPr>
          <w:rFonts w:ascii="Arial" w:hAnsi="Arial" w:cs="Arial"/>
          <w:sz w:val="24"/>
        </w:rPr>
        <w:t xml:space="preserve">. Thus </w:t>
      </w:r>
      <w:r w:rsidR="00EC4EED">
        <w:rPr>
          <w:rFonts w:ascii="Arial" w:hAnsi="Arial" w:cs="Arial"/>
          <w:sz w:val="24"/>
        </w:rPr>
        <w:t>3</w:t>
      </w:r>
      <w:r w:rsidR="00C91F4B">
        <w:rPr>
          <w:rFonts w:ascii="Arial" w:hAnsi="Arial" w:cs="Arial"/>
          <w:sz w:val="24"/>
        </w:rPr>
        <w:t>4</w:t>
      </w:r>
      <w:r w:rsidR="00EC4EED">
        <w:rPr>
          <w:rFonts w:ascii="Arial" w:hAnsi="Arial" w:cs="Arial"/>
          <w:sz w:val="24"/>
        </w:rPr>
        <w:t>.</w:t>
      </w:r>
      <w:r w:rsidR="00C91F4B">
        <w:rPr>
          <w:rFonts w:ascii="Arial" w:hAnsi="Arial" w:cs="Arial"/>
          <w:sz w:val="24"/>
        </w:rPr>
        <w:t>7</w:t>
      </w:r>
      <w:r w:rsidRPr="00812F0C">
        <w:rPr>
          <w:rFonts w:ascii="Arial" w:hAnsi="Arial" w:cs="Arial"/>
          <w:sz w:val="24"/>
        </w:rPr>
        <w:t xml:space="preserve">% was not achieved </w:t>
      </w:r>
      <w:r w:rsidR="00812F0C" w:rsidRPr="00812F0C">
        <w:rPr>
          <w:rFonts w:ascii="Arial" w:hAnsi="Arial" w:cs="Arial"/>
          <w:sz w:val="24"/>
        </w:rPr>
        <w:t xml:space="preserve">for which </w:t>
      </w:r>
      <w:r w:rsidRPr="00812F0C">
        <w:rPr>
          <w:rFonts w:ascii="Arial" w:hAnsi="Arial" w:cs="Arial"/>
          <w:sz w:val="24"/>
        </w:rPr>
        <w:t>corrective measures</w:t>
      </w:r>
      <w:r w:rsidR="00812F0C" w:rsidRPr="00812F0C">
        <w:rPr>
          <w:rFonts w:ascii="Arial" w:hAnsi="Arial" w:cs="Arial"/>
          <w:sz w:val="24"/>
        </w:rPr>
        <w:t xml:space="preserve"> will be implemented</w:t>
      </w:r>
      <w:r w:rsidR="00F82198">
        <w:rPr>
          <w:rFonts w:ascii="Arial" w:hAnsi="Arial" w:cs="Arial"/>
          <w:sz w:val="24"/>
        </w:rPr>
        <w:t xml:space="preserve">. </w:t>
      </w:r>
    </w:p>
    <w:p w14:paraId="5E3C37DF" w14:textId="3DDA7480" w:rsidR="00D15CAB" w:rsidRPr="006F3ADF" w:rsidRDefault="00C50606" w:rsidP="008D6A95">
      <w:pPr>
        <w:jc w:val="center"/>
        <w:rPr>
          <w:rFonts w:ascii="Arial" w:hAnsi="Arial" w:cs="Arial"/>
          <w:color w:val="FF0000"/>
        </w:rPr>
      </w:pPr>
      <w:r w:rsidRPr="00C50606">
        <w:rPr>
          <w:rFonts w:ascii="Arial" w:hAnsi="Arial" w:cs="Arial"/>
          <w:color w:val="FF0000"/>
        </w:rPr>
        <w:drawing>
          <wp:inline distT="0" distB="0" distL="0" distR="0" wp14:anchorId="00B414AA" wp14:editId="7D845DC4">
            <wp:extent cx="5134610" cy="2369199"/>
            <wp:effectExtent l="0" t="0" r="8890" b="0"/>
            <wp:docPr id="36729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98330" name=""/>
                    <pic:cNvPicPr/>
                  </pic:nvPicPr>
                  <pic:blipFill>
                    <a:blip r:embed="rId11"/>
                    <a:stretch>
                      <a:fillRect/>
                    </a:stretch>
                  </pic:blipFill>
                  <pic:spPr>
                    <a:xfrm>
                      <a:off x="0" y="0"/>
                      <a:ext cx="5176646" cy="2388595"/>
                    </a:xfrm>
                    <a:prstGeom prst="rect">
                      <a:avLst/>
                    </a:prstGeom>
                  </pic:spPr>
                </pic:pic>
              </a:graphicData>
            </a:graphic>
          </wp:inline>
        </w:drawing>
      </w:r>
      <w:r w:rsidR="00AA0025" w:rsidRPr="00902DE0">
        <w:rPr>
          <w:rFonts w:ascii="Arial" w:hAnsi="Arial" w:cs="Arial"/>
          <w:color w:val="FF0000"/>
        </w:rPr>
        <w:br w:type="page"/>
      </w:r>
    </w:p>
    <w:p w14:paraId="42BEC717" w14:textId="2EF5D158" w:rsidR="00EC4EED" w:rsidRPr="008D6A95" w:rsidRDefault="00741880" w:rsidP="00873BA0">
      <w:pPr>
        <w:rPr>
          <w:rFonts w:ascii="Arial" w:hAnsi="Arial" w:cs="Arial"/>
          <w:b/>
          <w:sz w:val="24"/>
          <w:szCs w:val="24"/>
        </w:rPr>
      </w:pPr>
      <w:r w:rsidRPr="008D6A95">
        <w:rPr>
          <w:rFonts w:ascii="Arial" w:hAnsi="Arial" w:cs="Arial"/>
          <w:b/>
          <w:sz w:val="24"/>
          <w:szCs w:val="24"/>
        </w:rPr>
        <w:t xml:space="preserve">Annexure A : </w:t>
      </w:r>
      <w:r w:rsidR="00902DE0" w:rsidRPr="008D6A95">
        <w:rPr>
          <w:rFonts w:ascii="Arial" w:hAnsi="Arial" w:cs="Arial"/>
          <w:b/>
          <w:sz w:val="24"/>
          <w:szCs w:val="24"/>
        </w:rPr>
        <w:t>Q</w:t>
      </w:r>
      <w:r w:rsidR="00C91F4B">
        <w:rPr>
          <w:rFonts w:ascii="Arial" w:hAnsi="Arial" w:cs="Arial"/>
          <w:b/>
          <w:sz w:val="24"/>
          <w:szCs w:val="24"/>
        </w:rPr>
        <w:t>2</w:t>
      </w:r>
      <w:r w:rsidR="00902DE0" w:rsidRPr="008D6A95">
        <w:rPr>
          <w:rFonts w:ascii="Arial" w:hAnsi="Arial" w:cs="Arial"/>
          <w:b/>
          <w:sz w:val="24"/>
          <w:szCs w:val="24"/>
        </w:rPr>
        <w:t xml:space="preserve"> ORGANISATIONAL PERFORMANCE ASSESSMENT REPORT</w:t>
      </w:r>
      <w:r w:rsidR="00D15CAB" w:rsidRPr="008D6A95">
        <w:rPr>
          <w:rFonts w:ascii="Arial" w:hAnsi="Arial" w:cs="Arial"/>
          <w:b/>
          <w:sz w:val="24"/>
          <w:szCs w:val="24"/>
        </w:rPr>
        <w:t xml:space="preserve"> </w:t>
      </w:r>
      <w:r w:rsidR="00F82198" w:rsidRPr="008D6A95">
        <w:rPr>
          <w:rFonts w:ascii="Arial" w:hAnsi="Arial" w:cs="Arial"/>
          <w:b/>
          <w:sz w:val="24"/>
          <w:szCs w:val="24"/>
        </w:rPr>
        <w:t>202</w:t>
      </w:r>
      <w:r w:rsidR="00EC4EED" w:rsidRPr="008D6A95">
        <w:rPr>
          <w:rFonts w:ascii="Arial" w:hAnsi="Arial" w:cs="Arial"/>
          <w:b/>
          <w:sz w:val="24"/>
          <w:szCs w:val="24"/>
        </w:rPr>
        <w:t>4</w:t>
      </w:r>
      <w:r w:rsidR="00F82198" w:rsidRPr="008D6A95">
        <w:rPr>
          <w:rFonts w:ascii="Arial" w:hAnsi="Arial" w:cs="Arial"/>
          <w:b/>
          <w:sz w:val="24"/>
          <w:szCs w:val="24"/>
        </w:rPr>
        <w:t>/</w:t>
      </w:r>
      <w:r w:rsidR="005D6525" w:rsidRPr="008D6A95">
        <w:rPr>
          <w:rFonts w:ascii="Arial" w:hAnsi="Arial" w:cs="Arial"/>
          <w:b/>
          <w:sz w:val="24"/>
          <w:szCs w:val="24"/>
        </w:rPr>
        <w:t>202</w:t>
      </w:r>
      <w:r w:rsidR="00EC4EED" w:rsidRPr="008D6A95">
        <w:rPr>
          <w:rFonts w:ascii="Arial" w:hAnsi="Arial" w:cs="Arial"/>
          <w:b/>
          <w:sz w:val="24"/>
          <w:szCs w:val="24"/>
        </w:rPr>
        <w:t>5</w:t>
      </w:r>
    </w:p>
    <w:tbl>
      <w:tblPr>
        <w:tblW w:w="9360" w:type="dxa"/>
        <w:tblLook w:val="04A0" w:firstRow="1" w:lastRow="0" w:firstColumn="1" w:lastColumn="0" w:noHBand="0" w:noVBand="1"/>
      </w:tblPr>
      <w:tblGrid>
        <w:gridCol w:w="521"/>
        <w:gridCol w:w="1036"/>
        <w:gridCol w:w="1036"/>
        <w:gridCol w:w="1511"/>
        <w:gridCol w:w="1132"/>
        <w:gridCol w:w="1088"/>
        <w:gridCol w:w="737"/>
        <w:gridCol w:w="704"/>
        <w:gridCol w:w="785"/>
        <w:gridCol w:w="401"/>
        <w:gridCol w:w="1076"/>
        <w:gridCol w:w="1048"/>
        <w:gridCol w:w="737"/>
        <w:gridCol w:w="704"/>
        <w:gridCol w:w="785"/>
        <w:gridCol w:w="401"/>
      </w:tblGrid>
      <w:tr w:rsidR="00C91F4B" w:rsidRPr="001D53BD" w14:paraId="51688F62" w14:textId="77777777" w:rsidTr="008605E8">
        <w:trPr>
          <w:trHeight w:val="516"/>
        </w:trPr>
        <w:tc>
          <w:tcPr>
            <w:tcW w:w="5216" w:type="dxa"/>
            <w:gridSpan w:val="6"/>
            <w:tcBorders>
              <w:top w:val="nil"/>
              <w:left w:val="nil"/>
              <w:bottom w:val="nil"/>
              <w:right w:val="nil"/>
            </w:tcBorders>
            <w:shd w:val="clear" w:color="auto" w:fill="auto"/>
            <w:noWrap/>
            <w:vAlign w:val="bottom"/>
            <w:hideMark/>
          </w:tcPr>
          <w:p w14:paraId="21155F06" w14:textId="77777777" w:rsidR="00C91F4B" w:rsidRPr="001D53BD" w:rsidRDefault="00C91F4B" w:rsidP="008605E8">
            <w:pPr>
              <w:spacing w:after="0" w:line="240" w:lineRule="auto"/>
              <w:jc w:val="center"/>
              <w:rPr>
                <w:rFonts w:ascii="Aptos Narrow" w:eastAsia="Times New Roman" w:hAnsi="Aptos Narrow" w:cs="Times New Roman"/>
                <w:b/>
                <w:bCs/>
                <w:color w:val="000099"/>
                <w:sz w:val="40"/>
                <w:szCs w:val="40"/>
                <w:u w:val="single"/>
                <w:lang w:eastAsia="en-ZA"/>
              </w:rPr>
            </w:pPr>
            <w:r w:rsidRPr="001D53BD">
              <w:rPr>
                <w:rFonts w:ascii="Aptos Narrow" w:eastAsia="Times New Roman" w:hAnsi="Aptos Narrow" w:cs="Times New Roman"/>
                <w:b/>
                <w:bCs/>
                <w:color w:val="000099"/>
                <w:sz w:val="40"/>
                <w:szCs w:val="40"/>
                <w:u w:val="single"/>
                <w:lang w:eastAsia="en-ZA"/>
              </w:rPr>
              <w:t>Karoo Hoogland Municipality</w:t>
            </w:r>
          </w:p>
        </w:tc>
        <w:tc>
          <w:tcPr>
            <w:tcW w:w="402" w:type="dxa"/>
            <w:tcBorders>
              <w:top w:val="nil"/>
              <w:left w:val="nil"/>
              <w:bottom w:val="nil"/>
              <w:right w:val="nil"/>
            </w:tcBorders>
            <w:shd w:val="clear" w:color="auto" w:fill="auto"/>
            <w:noWrap/>
            <w:vAlign w:val="bottom"/>
            <w:hideMark/>
          </w:tcPr>
          <w:p w14:paraId="4BEB2AF7" w14:textId="77777777" w:rsidR="00C91F4B" w:rsidRPr="001D53BD" w:rsidRDefault="00C91F4B" w:rsidP="008605E8">
            <w:pPr>
              <w:spacing w:after="0" w:line="240" w:lineRule="auto"/>
              <w:jc w:val="center"/>
              <w:rPr>
                <w:rFonts w:ascii="Aptos Narrow" w:eastAsia="Times New Roman" w:hAnsi="Aptos Narrow" w:cs="Times New Roman"/>
                <w:b/>
                <w:bCs/>
                <w:color w:val="000099"/>
                <w:sz w:val="40"/>
                <w:szCs w:val="40"/>
                <w:u w:val="single"/>
                <w:lang w:eastAsia="en-ZA"/>
              </w:rPr>
            </w:pPr>
          </w:p>
        </w:tc>
        <w:tc>
          <w:tcPr>
            <w:tcW w:w="225" w:type="dxa"/>
            <w:tcBorders>
              <w:top w:val="nil"/>
              <w:left w:val="nil"/>
              <w:bottom w:val="nil"/>
              <w:right w:val="nil"/>
            </w:tcBorders>
            <w:shd w:val="clear" w:color="auto" w:fill="auto"/>
            <w:noWrap/>
            <w:vAlign w:val="bottom"/>
            <w:hideMark/>
          </w:tcPr>
          <w:p w14:paraId="17DC3201"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57" w:type="dxa"/>
            <w:tcBorders>
              <w:top w:val="nil"/>
              <w:left w:val="nil"/>
              <w:bottom w:val="nil"/>
              <w:right w:val="nil"/>
            </w:tcBorders>
            <w:shd w:val="clear" w:color="auto" w:fill="auto"/>
            <w:noWrap/>
            <w:vAlign w:val="bottom"/>
            <w:hideMark/>
          </w:tcPr>
          <w:p w14:paraId="757715E5"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40" w:type="dxa"/>
            <w:tcBorders>
              <w:top w:val="nil"/>
              <w:left w:val="nil"/>
              <w:bottom w:val="nil"/>
              <w:right w:val="nil"/>
            </w:tcBorders>
            <w:shd w:val="clear" w:color="auto" w:fill="auto"/>
            <w:noWrap/>
            <w:vAlign w:val="bottom"/>
            <w:hideMark/>
          </w:tcPr>
          <w:p w14:paraId="748FE19B"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048" w:type="dxa"/>
            <w:tcBorders>
              <w:top w:val="nil"/>
              <w:left w:val="nil"/>
              <w:bottom w:val="nil"/>
              <w:right w:val="nil"/>
            </w:tcBorders>
            <w:shd w:val="clear" w:color="auto" w:fill="auto"/>
            <w:noWrap/>
            <w:vAlign w:val="bottom"/>
            <w:hideMark/>
          </w:tcPr>
          <w:p w14:paraId="4ECEFB68"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048" w:type="dxa"/>
            <w:tcBorders>
              <w:top w:val="nil"/>
              <w:left w:val="nil"/>
              <w:bottom w:val="nil"/>
              <w:right w:val="nil"/>
            </w:tcBorders>
            <w:shd w:val="clear" w:color="auto" w:fill="auto"/>
            <w:noWrap/>
            <w:vAlign w:val="bottom"/>
            <w:hideMark/>
          </w:tcPr>
          <w:p w14:paraId="758FA79C"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402" w:type="dxa"/>
            <w:tcBorders>
              <w:top w:val="nil"/>
              <w:left w:val="nil"/>
              <w:bottom w:val="nil"/>
              <w:right w:val="nil"/>
            </w:tcBorders>
            <w:shd w:val="clear" w:color="auto" w:fill="auto"/>
            <w:noWrap/>
            <w:vAlign w:val="bottom"/>
            <w:hideMark/>
          </w:tcPr>
          <w:p w14:paraId="231DFBEB"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25" w:type="dxa"/>
            <w:tcBorders>
              <w:top w:val="nil"/>
              <w:left w:val="nil"/>
              <w:bottom w:val="nil"/>
              <w:right w:val="nil"/>
            </w:tcBorders>
            <w:shd w:val="clear" w:color="auto" w:fill="auto"/>
            <w:noWrap/>
            <w:vAlign w:val="bottom"/>
            <w:hideMark/>
          </w:tcPr>
          <w:p w14:paraId="50561DBE"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57" w:type="dxa"/>
            <w:tcBorders>
              <w:top w:val="nil"/>
              <w:left w:val="nil"/>
              <w:bottom w:val="nil"/>
              <w:right w:val="nil"/>
            </w:tcBorders>
            <w:shd w:val="clear" w:color="auto" w:fill="auto"/>
            <w:noWrap/>
            <w:vAlign w:val="bottom"/>
            <w:hideMark/>
          </w:tcPr>
          <w:p w14:paraId="12BFE4C8"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40" w:type="dxa"/>
            <w:tcBorders>
              <w:top w:val="nil"/>
              <w:left w:val="nil"/>
              <w:bottom w:val="nil"/>
              <w:right w:val="nil"/>
            </w:tcBorders>
            <w:shd w:val="clear" w:color="auto" w:fill="auto"/>
            <w:noWrap/>
            <w:vAlign w:val="bottom"/>
            <w:hideMark/>
          </w:tcPr>
          <w:p w14:paraId="66B88F91"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r>
      <w:tr w:rsidR="00C91F4B" w:rsidRPr="001D53BD" w14:paraId="4B595432" w14:textId="77777777" w:rsidTr="008605E8">
        <w:trPr>
          <w:trHeight w:val="420"/>
        </w:trPr>
        <w:tc>
          <w:tcPr>
            <w:tcW w:w="5216" w:type="dxa"/>
            <w:gridSpan w:val="6"/>
            <w:tcBorders>
              <w:top w:val="nil"/>
              <w:left w:val="nil"/>
              <w:bottom w:val="single" w:sz="4" w:space="0" w:color="000000"/>
              <w:right w:val="nil"/>
            </w:tcBorders>
            <w:shd w:val="clear" w:color="auto" w:fill="auto"/>
            <w:noWrap/>
            <w:vAlign w:val="bottom"/>
            <w:hideMark/>
          </w:tcPr>
          <w:p w14:paraId="3351770C" w14:textId="77777777" w:rsidR="00C91F4B" w:rsidRPr="001D53BD" w:rsidRDefault="00C91F4B" w:rsidP="008605E8">
            <w:pPr>
              <w:spacing w:after="0" w:line="240" w:lineRule="auto"/>
              <w:jc w:val="center"/>
              <w:rPr>
                <w:rFonts w:ascii="Aptos Narrow" w:eastAsia="Times New Roman" w:hAnsi="Aptos Narrow" w:cs="Times New Roman"/>
                <w:b/>
                <w:bCs/>
                <w:color w:val="000099"/>
                <w:sz w:val="32"/>
                <w:szCs w:val="32"/>
                <w:lang w:eastAsia="en-ZA"/>
              </w:rPr>
            </w:pPr>
            <w:r w:rsidRPr="001D53BD">
              <w:rPr>
                <w:rFonts w:ascii="Aptos Narrow" w:eastAsia="Times New Roman" w:hAnsi="Aptos Narrow" w:cs="Times New Roman"/>
                <w:b/>
                <w:bCs/>
                <w:color w:val="000099"/>
                <w:sz w:val="32"/>
                <w:szCs w:val="32"/>
                <w:lang w:eastAsia="en-ZA"/>
              </w:rPr>
              <w:t>2024/25: Top Layer KPI Report</w:t>
            </w:r>
          </w:p>
        </w:tc>
        <w:tc>
          <w:tcPr>
            <w:tcW w:w="402" w:type="dxa"/>
            <w:tcBorders>
              <w:top w:val="nil"/>
              <w:left w:val="nil"/>
              <w:bottom w:val="nil"/>
              <w:right w:val="nil"/>
            </w:tcBorders>
            <w:shd w:val="clear" w:color="auto" w:fill="auto"/>
            <w:noWrap/>
            <w:vAlign w:val="bottom"/>
            <w:hideMark/>
          </w:tcPr>
          <w:p w14:paraId="5750D608" w14:textId="77777777" w:rsidR="00C91F4B" w:rsidRPr="001D53BD" w:rsidRDefault="00C91F4B" w:rsidP="008605E8">
            <w:pPr>
              <w:spacing w:after="0" w:line="240" w:lineRule="auto"/>
              <w:jc w:val="center"/>
              <w:rPr>
                <w:rFonts w:ascii="Aptos Narrow" w:eastAsia="Times New Roman" w:hAnsi="Aptos Narrow" w:cs="Times New Roman"/>
                <w:b/>
                <w:bCs/>
                <w:color w:val="000099"/>
                <w:sz w:val="32"/>
                <w:szCs w:val="32"/>
                <w:lang w:eastAsia="en-ZA"/>
              </w:rPr>
            </w:pPr>
          </w:p>
        </w:tc>
        <w:tc>
          <w:tcPr>
            <w:tcW w:w="225" w:type="dxa"/>
            <w:tcBorders>
              <w:top w:val="nil"/>
              <w:left w:val="nil"/>
              <w:bottom w:val="nil"/>
              <w:right w:val="nil"/>
            </w:tcBorders>
            <w:shd w:val="clear" w:color="auto" w:fill="auto"/>
            <w:noWrap/>
            <w:vAlign w:val="bottom"/>
            <w:hideMark/>
          </w:tcPr>
          <w:p w14:paraId="532FE678"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57" w:type="dxa"/>
            <w:tcBorders>
              <w:top w:val="nil"/>
              <w:left w:val="nil"/>
              <w:bottom w:val="nil"/>
              <w:right w:val="nil"/>
            </w:tcBorders>
            <w:shd w:val="clear" w:color="auto" w:fill="auto"/>
            <w:noWrap/>
            <w:vAlign w:val="bottom"/>
            <w:hideMark/>
          </w:tcPr>
          <w:p w14:paraId="6FA96335"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40" w:type="dxa"/>
            <w:tcBorders>
              <w:top w:val="nil"/>
              <w:left w:val="nil"/>
              <w:bottom w:val="nil"/>
              <w:right w:val="nil"/>
            </w:tcBorders>
            <w:shd w:val="clear" w:color="auto" w:fill="auto"/>
            <w:noWrap/>
            <w:vAlign w:val="bottom"/>
            <w:hideMark/>
          </w:tcPr>
          <w:p w14:paraId="504FCB62"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048" w:type="dxa"/>
            <w:tcBorders>
              <w:top w:val="nil"/>
              <w:left w:val="nil"/>
              <w:bottom w:val="nil"/>
              <w:right w:val="nil"/>
            </w:tcBorders>
            <w:shd w:val="clear" w:color="auto" w:fill="auto"/>
            <w:noWrap/>
            <w:vAlign w:val="bottom"/>
            <w:hideMark/>
          </w:tcPr>
          <w:p w14:paraId="203A546E"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048" w:type="dxa"/>
            <w:tcBorders>
              <w:top w:val="nil"/>
              <w:left w:val="nil"/>
              <w:bottom w:val="nil"/>
              <w:right w:val="nil"/>
            </w:tcBorders>
            <w:shd w:val="clear" w:color="auto" w:fill="auto"/>
            <w:noWrap/>
            <w:vAlign w:val="bottom"/>
            <w:hideMark/>
          </w:tcPr>
          <w:p w14:paraId="78C5D407"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402" w:type="dxa"/>
            <w:tcBorders>
              <w:top w:val="nil"/>
              <w:left w:val="nil"/>
              <w:bottom w:val="nil"/>
              <w:right w:val="nil"/>
            </w:tcBorders>
            <w:shd w:val="clear" w:color="auto" w:fill="auto"/>
            <w:noWrap/>
            <w:vAlign w:val="bottom"/>
            <w:hideMark/>
          </w:tcPr>
          <w:p w14:paraId="5864091A"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25" w:type="dxa"/>
            <w:tcBorders>
              <w:top w:val="nil"/>
              <w:left w:val="nil"/>
              <w:bottom w:val="nil"/>
              <w:right w:val="nil"/>
            </w:tcBorders>
            <w:shd w:val="clear" w:color="auto" w:fill="auto"/>
            <w:noWrap/>
            <w:vAlign w:val="bottom"/>
            <w:hideMark/>
          </w:tcPr>
          <w:p w14:paraId="10BE0E54"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257" w:type="dxa"/>
            <w:tcBorders>
              <w:top w:val="nil"/>
              <w:left w:val="nil"/>
              <w:bottom w:val="nil"/>
              <w:right w:val="nil"/>
            </w:tcBorders>
            <w:shd w:val="clear" w:color="auto" w:fill="auto"/>
            <w:noWrap/>
            <w:vAlign w:val="bottom"/>
            <w:hideMark/>
          </w:tcPr>
          <w:p w14:paraId="663864DC"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c>
          <w:tcPr>
            <w:tcW w:w="140" w:type="dxa"/>
            <w:tcBorders>
              <w:top w:val="nil"/>
              <w:left w:val="nil"/>
              <w:bottom w:val="nil"/>
              <w:right w:val="nil"/>
            </w:tcBorders>
            <w:shd w:val="clear" w:color="auto" w:fill="auto"/>
            <w:noWrap/>
            <w:vAlign w:val="bottom"/>
            <w:hideMark/>
          </w:tcPr>
          <w:p w14:paraId="1C823C8B" w14:textId="77777777" w:rsidR="00C91F4B" w:rsidRPr="001D53BD" w:rsidRDefault="00C91F4B" w:rsidP="008605E8">
            <w:pPr>
              <w:spacing w:after="0" w:line="240" w:lineRule="auto"/>
              <w:rPr>
                <w:rFonts w:ascii="Times New Roman" w:eastAsia="Times New Roman" w:hAnsi="Times New Roman" w:cs="Times New Roman"/>
                <w:sz w:val="20"/>
                <w:szCs w:val="20"/>
                <w:lang w:eastAsia="en-ZA"/>
              </w:rPr>
            </w:pPr>
          </w:p>
        </w:tc>
      </w:tr>
      <w:tr w:rsidR="00C91F4B" w:rsidRPr="001D53BD" w14:paraId="78EAE2E2" w14:textId="77777777" w:rsidTr="008605E8">
        <w:trPr>
          <w:trHeight w:val="864"/>
        </w:trPr>
        <w:tc>
          <w:tcPr>
            <w:tcW w:w="183"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3CFFE8BE"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Ref</w:t>
            </w:r>
          </w:p>
        </w:tc>
        <w:tc>
          <w:tcPr>
            <w:tcW w:w="841"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40908E0D"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Responsible Owner</w:t>
            </w:r>
          </w:p>
        </w:tc>
        <w:tc>
          <w:tcPr>
            <w:tcW w:w="1048"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04A65813"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Responsible Directorate</w:t>
            </w:r>
          </w:p>
        </w:tc>
        <w:tc>
          <w:tcPr>
            <w:tcW w:w="1048"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7C8D9216"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KPI Name</w:t>
            </w:r>
          </w:p>
        </w:tc>
        <w:tc>
          <w:tcPr>
            <w:tcW w:w="1048"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5E2A573E"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Description of Unit of Measurement</w:t>
            </w:r>
          </w:p>
        </w:tc>
        <w:tc>
          <w:tcPr>
            <w:tcW w:w="1048" w:type="dxa"/>
            <w:vMerge w:val="restart"/>
            <w:tcBorders>
              <w:top w:val="nil"/>
              <w:left w:val="single" w:sz="4" w:space="0" w:color="000000"/>
              <w:bottom w:val="single" w:sz="4" w:space="0" w:color="000000"/>
              <w:right w:val="single" w:sz="4" w:space="0" w:color="000000"/>
            </w:tcBorders>
            <w:shd w:val="clear" w:color="000000" w:fill="EEEEEE"/>
            <w:vAlign w:val="center"/>
            <w:hideMark/>
          </w:tcPr>
          <w:p w14:paraId="1961CC1A"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Strategic Objective</w:t>
            </w:r>
          </w:p>
        </w:tc>
        <w:tc>
          <w:tcPr>
            <w:tcW w:w="3120" w:type="dxa"/>
            <w:gridSpan w:val="6"/>
            <w:tcBorders>
              <w:top w:val="single" w:sz="4" w:space="0" w:color="000000"/>
              <w:left w:val="nil"/>
              <w:bottom w:val="single" w:sz="4" w:space="0" w:color="000000"/>
              <w:right w:val="single" w:sz="4" w:space="0" w:color="000000"/>
            </w:tcBorders>
            <w:shd w:val="clear" w:color="000000" w:fill="EEEEEE"/>
            <w:vAlign w:val="center"/>
            <w:hideMark/>
          </w:tcPr>
          <w:p w14:paraId="57DFCE78"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Quarter ending December 2024</w:t>
            </w:r>
          </w:p>
        </w:tc>
        <w:tc>
          <w:tcPr>
            <w:tcW w:w="1024" w:type="dxa"/>
            <w:gridSpan w:val="4"/>
            <w:tcBorders>
              <w:top w:val="single" w:sz="4" w:space="0" w:color="000000"/>
              <w:left w:val="nil"/>
              <w:bottom w:val="single" w:sz="4" w:space="0" w:color="000000"/>
              <w:right w:val="single" w:sz="4" w:space="0" w:color="000000"/>
            </w:tcBorders>
            <w:shd w:val="clear" w:color="000000" w:fill="EEEEEE"/>
            <w:vAlign w:val="center"/>
            <w:hideMark/>
          </w:tcPr>
          <w:p w14:paraId="4000C74E"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Overall Performance for Quarter ending December 2024 to Quarter ending December 2024</w:t>
            </w:r>
          </w:p>
        </w:tc>
      </w:tr>
      <w:tr w:rsidR="00C91F4B" w:rsidRPr="001D53BD" w14:paraId="31A0BD88" w14:textId="77777777" w:rsidTr="008605E8">
        <w:trPr>
          <w:trHeight w:val="288"/>
        </w:trPr>
        <w:tc>
          <w:tcPr>
            <w:tcW w:w="183" w:type="dxa"/>
            <w:vMerge/>
            <w:tcBorders>
              <w:top w:val="nil"/>
              <w:left w:val="single" w:sz="4" w:space="0" w:color="000000"/>
              <w:bottom w:val="single" w:sz="4" w:space="0" w:color="000000"/>
              <w:right w:val="single" w:sz="4" w:space="0" w:color="000000"/>
            </w:tcBorders>
            <w:vAlign w:val="center"/>
            <w:hideMark/>
          </w:tcPr>
          <w:p w14:paraId="660EF95A"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841" w:type="dxa"/>
            <w:vMerge/>
            <w:tcBorders>
              <w:top w:val="nil"/>
              <w:left w:val="single" w:sz="4" w:space="0" w:color="000000"/>
              <w:bottom w:val="single" w:sz="4" w:space="0" w:color="000000"/>
              <w:right w:val="single" w:sz="4" w:space="0" w:color="000000"/>
            </w:tcBorders>
            <w:vAlign w:val="center"/>
            <w:hideMark/>
          </w:tcPr>
          <w:p w14:paraId="6780D845"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1048" w:type="dxa"/>
            <w:vMerge/>
            <w:tcBorders>
              <w:top w:val="nil"/>
              <w:left w:val="single" w:sz="4" w:space="0" w:color="000000"/>
              <w:bottom w:val="single" w:sz="4" w:space="0" w:color="000000"/>
              <w:right w:val="single" w:sz="4" w:space="0" w:color="000000"/>
            </w:tcBorders>
            <w:vAlign w:val="center"/>
            <w:hideMark/>
          </w:tcPr>
          <w:p w14:paraId="54F5C274"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1048" w:type="dxa"/>
            <w:vMerge/>
            <w:tcBorders>
              <w:top w:val="nil"/>
              <w:left w:val="single" w:sz="4" w:space="0" w:color="000000"/>
              <w:bottom w:val="single" w:sz="4" w:space="0" w:color="000000"/>
              <w:right w:val="single" w:sz="4" w:space="0" w:color="000000"/>
            </w:tcBorders>
            <w:vAlign w:val="center"/>
            <w:hideMark/>
          </w:tcPr>
          <w:p w14:paraId="7331D1DA"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1048" w:type="dxa"/>
            <w:vMerge/>
            <w:tcBorders>
              <w:top w:val="nil"/>
              <w:left w:val="single" w:sz="4" w:space="0" w:color="000000"/>
              <w:bottom w:val="single" w:sz="4" w:space="0" w:color="000000"/>
              <w:right w:val="single" w:sz="4" w:space="0" w:color="000000"/>
            </w:tcBorders>
            <w:vAlign w:val="center"/>
            <w:hideMark/>
          </w:tcPr>
          <w:p w14:paraId="594C7FBF"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1048" w:type="dxa"/>
            <w:vMerge/>
            <w:tcBorders>
              <w:top w:val="nil"/>
              <w:left w:val="single" w:sz="4" w:space="0" w:color="000000"/>
              <w:bottom w:val="single" w:sz="4" w:space="0" w:color="000000"/>
              <w:right w:val="single" w:sz="4" w:space="0" w:color="000000"/>
            </w:tcBorders>
            <w:vAlign w:val="center"/>
            <w:hideMark/>
          </w:tcPr>
          <w:p w14:paraId="66CD9D6C" w14:textId="77777777" w:rsidR="00C91F4B" w:rsidRPr="001D53BD" w:rsidRDefault="00C91F4B" w:rsidP="008605E8">
            <w:pPr>
              <w:spacing w:after="0" w:line="240" w:lineRule="auto"/>
              <w:rPr>
                <w:rFonts w:ascii="Aptos Narrow" w:eastAsia="Times New Roman" w:hAnsi="Aptos Narrow" w:cs="Times New Roman"/>
                <w:b/>
                <w:bCs/>
                <w:color w:val="000000"/>
                <w:sz w:val="16"/>
                <w:szCs w:val="16"/>
                <w:lang w:eastAsia="en-ZA"/>
              </w:rPr>
            </w:pPr>
          </w:p>
        </w:tc>
        <w:tc>
          <w:tcPr>
            <w:tcW w:w="402" w:type="dxa"/>
            <w:tcBorders>
              <w:top w:val="nil"/>
              <w:left w:val="nil"/>
              <w:bottom w:val="single" w:sz="4" w:space="0" w:color="000000"/>
              <w:right w:val="single" w:sz="4" w:space="0" w:color="000000"/>
            </w:tcBorders>
            <w:shd w:val="clear" w:color="000000" w:fill="EEEEEE"/>
            <w:vAlign w:val="center"/>
            <w:hideMark/>
          </w:tcPr>
          <w:p w14:paraId="791D2CAB"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Original Target</w:t>
            </w:r>
          </w:p>
        </w:tc>
        <w:tc>
          <w:tcPr>
            <w:tcW w:w="225" w:type="dxa"/>
            <w:tcBorders>
              <w:top w:val="nil"/>
              <w:left w:val="nil"/>
              <w:bottom w:val="single" w:sz="4" w:space="0" w:color="000000"/>
              <w:right w:val="single" w:sz="4" w:space="0" w:color="000000"/>
            </w:tcBorders>
            <w:shd w:val="clear" w:color="000000" w:fill="EEEEEE"/>
            <w:vAlign w:val="center"/>
            <w:hideMark/>
          </w:tcPr>
          <w:p w14:paraId="6F47A6A9"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Target</w:t>
            </w:r>
          </w:p>
        </w:tc>
        <w:tc>
          <w:tcPr>
            <w:tcW w:w="257" w:type="dxa"/>
            <w:tcBorders>
              <w:top w:val="nil"/>
              <w:left w:val="nil"/>
              <w:bottom w:val="single" w:sz="4" w:space="0" w:color="000000"/>
              <w:right w:val="single" w:sz="4" w:space="0" w:color="000000"/>
            </w:tcBorders>
            <w:shd w:val="clear" w:color="000000" w:fill="EEEEEE"/>
            <w:vAlign w:val="center"/>
            <w:hideMark/>
          </w:tcPr>
          <w:p w14:paraId="2AD19C0E"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Actual</w:t>
            </w:r>
          </w:p>
        </w:tc>
        <w:tc>
          <w:tcPr>
            <w:tcW w:w="140" w:type="dxa"/>
            <w:tcBorders>
              <w:top w:val="nil"/>
              <w:left w:val="nil"/>
              <w:bottom w:val="single" w:sz="4" w:space="0" w:color="000000"/>
              <w:right w:val="single" w:sz="4" w:space="0" w:color="000000"/>
            </w:tcBorders>
            <w:shd w:val="clear" w:color="000000" w:fill="EEEEEE"/>
            <w:vAlign w:val="center"/>
            <w:hideMark/>
          </w:tcPr>
          <w:p w14:paraId="465C85E6"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R</w:t>
            </w:r>
          </w:p>
        </w:tc>
        <w:tc>
          <w:tcPr>
            <w:tcW w:w="1048" w:type="dxa"/>
            <w:tcBorders>
              <w:top w:val="nil"/>
              <w:left w:val="nil"/>
              <w:bottom w:val="single" w:sz="4" w:space="0" w:color="000000"/>
              <w:right w:val="single" w:sz="4" w:space="0" w:color="000000"/>
            </w:tcBorders>
            <w:shd w:val="clear" w:color="000000" w:fill="EEEEEE"/>
            <w:vAlign w:val="center"/>
            <w:hideMark/>
          </w:tcPr>
          <w:p w14:paraId="6689A6F6"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Performance Comment</w:t>
            </w:r>
          </w:p>
        </w:tc>
        <w:tc>
          <w:tcPr>
            <w:tcW w:w="1048" w:type="dxa"/>
            <w:tcBorders>
              <w:top w:val="nil"/>
              <w:left w:val="nil"/>
              <w:bottom w:val="single" w:sz="4" w:space="0" w:color="000000"/>
              <w:right w:val="single" w:sz="4" w:space="0" w:color="000000"/>
            </w:tcBorders>
            <w:shd w:val="clear" w:color="000000" w:fill="EEEEEE"/>
            <w:vAlign w:val="center"/>
            <w:hideMark/>
          </w:tcPr>
          <w:p w14:paraId="49D72679"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Corrective Measures</w:t>
            </w:r>
          </w:p>
        </w:tc>
        <w:tc>
          <w:tcPr>
            <w:tcW w:w="402" w:type="dxa"/>
            <w:tcBorders>
              <w:top w:val="nil"/>
              <w:left w:val="nil"/>
              <w:bottom w:val="single" w:sz="4" w:space="0" w:color="000000"/>
              <w:right w:val="single" w:sz="4" w:space="0" w:color="000000"/>
            </w:tcBorders>
            <w:shd w:val="clear" w:color="000000" w:fill="EEEEEE"/>
            <w:vAlign w:val="center"/>
            <w:hideMark/>
          </w:tcPr>
          <w:p w14:paraId="5DEBDA81"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Original Target</w:t>
            </w:r>
          </w:p>
        </w:tc>
        <w:tc>
          <w:tcPr>
            <w:tcW w:w="225" w:type="dxa"/>
            <w:tcBorders>
              <w:top w:val="nil"/>
              <w:left w:val="nil"/>
              <w:bottom w:val="single" w:sz="4" w:space="0" w:color="000000"/>
              <w:right w:val="single" w:sz="4" w:space="0" w:color="000000"/>
            </w:tcBorders>
            <w:shd w:val="clear" w:color="000000" w:fill="EEEEEE"/>
            <w:vAlign w:val="center"/>
            <w:hideMark/>
          </w:tcPr>
          <w:p w14:paraId="3C2A6BF1"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Target</w:t>
            </w:r>
          </w:p>
        </w:tc>
        <w:tc>
          <w:tcPr>
            <w:tcW w:w="257" w:type="dxa"/>
            <w:tcBorders>
              <w:top w:val="nil"/>
              <w:left w:val="nil"/>
              <w:bottom w:val="single" w:sz="4" w:space="0" w:color="000000"/>
              <w:right w:val="single" w:sz="4" w:space="0" w:color="000000"/>
            </w:tcBorders>
            <w:shd w:val="clear" w:color="000000" w:fill="EEEEEE"/>
            <w:vAlign w:val="center"/>
            <w:hideMark/>
          </w:tcPr>
          <w:p w14:paraId="427BD7AA"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Actual</w:t>
            </w:r>
          </w:p>
        </w:tc>
        <w:tc>
          <w:tcPr>
            <w:tcW w:w="140" w:type="dxa"/>
            <w:tcBorders>
              <w:top w:val="nil"/>
              <w:left w:val="nil"/>
              <w:bottom w:val="single" w:sz="4" w:space="0" w:color="000000"/>
              <w:right w:val="single" w:sz="4" w:space="0" w:color="000000"/>
            </w:tcBorders>
            <w:shd w:val="clear" w:color="000000" w:fill="EEEEEE"/>
            <w:vAlign w:val="center"/>
            <w:hideMark/>
          </w:tcPr>
          <w:p w14:paraId="240D69CE" w14:textId="77777777" w:rsidR="00C91F4B" w:rsidRPr="001D53BD" w:rsidRDefault="00C91F4B" w:rsidP="008605E8">
            <w:pPr>
              <w:spacing w:after="0" w:line="240" w:lineRule="auto"/>
              <w:jc w:val="center"/>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R</w:t>
            </w:r>
          </w:p>
        </w:tc>
      </w:tr>
      <w:tr w:rsidR="00C91F4B" w:rsidRPr="001D53BD" w14:paraId="1026FFA0"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7E93DEF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TL4</w:t>
            </w:r>
          </w:p>
        </w:tc>
        <w:tc>
          <w:tcPr>
            <w:tcW w:w="841" w:type="dxa"/>
            <w:tcBorders>
              <w:top w:val="nil"/>
              <w:left w:val="nil"/>
              <w:bottom w:val="single" w:sz="4" w:space="0" w:color="000000"/>
              <w:right w:val="single" w:sz="4" w:space="0" w:color="000000"/>
            </w:tcBorders>
            <w:shd w:val="clear" w:color="auto" w:fill="auto"/>
            <w:hideMark/>
          </w:tcPr>
          <w:p w14:paraId="09DEDF9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Municipal Manager</w:t>
            </w:r>
          </w:p>
        </w:tc>
        <w:tc>
          <w:tcPr>
            <w:tcW w:w="1048" w:type="dxa"/>
            <w:tcBorders>
              <w:top w:val="nil"/>
              <w:left w:val="nil"/>
              <w:bottom w:val="single" w:sz="4" w:space="0" w:color="000000"/>
              <w:right w:val="single" w:sz="4" w:space="0" w:color="000000"/>
            </w:tcBorders>
            <w:shd w:val="clear" w:color="auto" w:fill="auto"/>
            <w:hideMark/>
          </w:tcPr>
          <w:p w14:paraId="463550F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Office of the Municipal Manager</w:t>
            </w:r>
          </w:p>
        </w:tc>
        <w:tc>
          <w:tcPr>
            <w:tcW w:w="1048" w:type="dxa"/>
            <w:tcBorders>
              <w:top w:val="nil"/>
              <w:left w:val="nil"/>
              <w:bottom w:val="single" w:sz="4" w:space="0" w:color="000000"/>
              <w:right w:val="single" w:sz="4" w:space="0" w:color="000000"/>
            </w:tcBorders>
            <w:shd w:val="clear" w:color="auto" w:fill="auto"/>
            <w:hideMark/>
          </w:tcPr>
          <w:p w14:paraId="0670FAA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The percentage of the municipal capital budget actually spent on capital projects by 30 June 2025 [(Actual amount spent on projects /Total amount budgeted for capital projects) X100]</w:t>
            </w:r>
          </w:p>
        </w:tc>
        <w:tc>
          <w:tcPr>
            <w:tcW w:w="1048" w:type="dxa"/>
            <w:tcBorders>
              <w:top w:val="nil"/>
              <w:left w:val="nil"/>
              <w:bottom w:val="single" w:sz="4" w:space="0" w:color="000000"/>
              <w:right w:val="single" w:sz="4" w:space="0" w:color="000000"/>
            </w:tcBorders>
            <w:shd w:val="clear" w:color="auto" w:fill="auto"/>
            <w:hideMark/>
          </w:tcPr>
          <w:p w14:paraId="374C1B4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capital budget spent</w:t>
            </w:r>
          </w:p>
        </w:tc>
        <w:tc>
          <w:tcPr>
            <w:tcW w:w="1048" w:type="dxa"/>
            <w:tcBorders>
              <w:top w:val="nil"/>
              <w:left w:val="nil"/>
              <w:bottom w:val="single" w:sz="4" w:space="0" w:color="000000"/>
              <w:right w:val="single" w:sz="4" w:space="0" w:color="000000"/>
            </w:tcBorders>
            <w:shd w:val="clear" w:color="auto" w:fill="auto"/>
            <w:hideMark/>
          </w:tcPr>
          <w:p w14:paraId="7DC03BE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Ensure responsive and accountable governance</w:t>
            </w:r>
          </w:p>
        </w:tc>
        <w:tc>
          <w:tcPr>
            <w:tcW w:w="402" w:type="dxa"/>
            <w:tcBorders>
              <w:top w:val="nil"/>
              <w:left w:val="nil"/>
              <w:bottom w:val="single" w:sz="4" w:space="0" w:color="000000"/>
              <w:right w:val="single" w:sz="4" w:space="0" w:color="000000"/>
            </w:tcBorders>
            <w:shd w:val="clear" w:color="auto" w:fill="auto"/>
            <w:hideMark/>
          </w:tcPr>
          <w:p w14:paraId="52C5F79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0FB80F0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2325821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28.58%</w:t>
            </w:r>
          </w:p>
        </w:tc>
        <w:tc>
          <w:tcPr>
            <w:tcW w:w="140" w:type="dxa"/>
            <w:tcBorders>
              <w:top w:val="nil"/>
              <w:left w:val="nil"/>
              <w:bottom w:val="single" w:sz="4" w:space="0" w:color="000000"/>
              <w:right w:val="single" w:sz="4" w:space="0" w:color="000000"/>
            </w:tcBorders>
            <w:shd w:val="clear" w:color="000000" w:fill="CC0001"/>
            <w:hideMark/>
          </w:tcPr>
          <w:p w14:paraId="70FBB00C"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029DAF7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[D69] Manager: Budget and Treasury: MIG funds has not been received at the time. (December 2024)</w:t>
            </w:r>
          </w:p>
        </w:tc>
        <w:tc>
          <w:tcPr>
            <w:tcW w:w="1048" w:type="dxa"/>
            <w:tcBorders>
              <w:top w:val="nil"/>
              <w:left w:val="nil"/>
              <w:bottom w:val="single" w:sz="4" w:space="0" w:color="000000"/>
              <w:right w:val="single" w:sz="4" w:space="0" w:color="000000"/>
            </w:tcBorders>
            <w:shd w:val="clear" w:color="auto" w:fill="auto"/>
            <w:hideMark/>
          </w:tcPr>
          <w:p w14:paraId="7660A89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[D69] Manager: Budget and Treasury: By end of March 60% of the received funds will be spend. Project of MIG will commence on 15 January 2025 (December 2024)</w:t>
            </w:r>
          </w:p>
        </w:tc>
        <w:tc>
          <w:tcPr>
            <w:tcW w:w="402" w:type="dxa"/>
            <w:tcBorders>
              <w:top w:val="nil"/>
              <w:left w:val="nil"/>
              <w:bottom w:val="single" w:sz="4" w:space="0" w:color="000000"/>
              <w:right w:val="single" w:sz="4" w:space="0" w:color="000000"/>
            </w:tcBorders>
            <w:shd w:val="clear" w:color="000000" w:fill="DDDDDD"/>
            <w:hideMark/>
          </w:tcPr>
          <w:p w14:paraId="75318712"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0817AE03"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0F7B4EEF"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28.58%</w:t>
            </w:r>
          </w:p>
        </w:tc>
        <w:tc>
          <w:tcPr>
            <w:tcW w:w="140" w:type="dxa"/>
            <w:tcBorders>
              <w:top w:val="nil"/>
              <w:left w:val="nil"/>
              <w:bottom w:val="single" w:sz="4" w:space="0" w:color="000000"/>
              <w:right w:val="single" w:sz="4" w:space="0" w:color="000000"/>
            </w:tcBorders>
            <w:shd w:val="clear" w:color="000000" w:fill="CC0001"/>
            <w:hideMark/>
          </w:tcPr>
          <w:p w14:paraId="088FCFE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5E7C83EF"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43294D8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TL8</w:t>
            </w:r>
          </w:p>
        </w:tc>
        <w:tc>
          <w:tcPr>
            <w:tcW w:w="841" w:type="dxa"/>
            <w:tcBorders>
              <w:top w:val="nil"/>
              <w:left w:val="nil"/>
              <w:bottom w:val="single" w:sz="4" w:space="0" w:color="000000"/>
              <w:right w:val="single" w:sz="4" w:space="0" w:color="000000"/>
            </w:tcBorders>
            <w:shd w:val="clear" w:color="auto" w:fill="auto"/>
            <w:hideMark/>
          </w:tcPr>
          <w:p w14:paraId="22901AE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Municipal Manager</w:t>
            </w:r>
          </w:p>
        </w:tc>
        <w:tc>
          <w:tcPr>
            <w:tcW w:w="1048" w:type="dxa"/>
            <w:tcBorders>
              <w:top w:val="nil"/>
              <w:left w:val="nil"/>
              <w:bottom w:val="single" w:sz="4" w:space="0" w:color="000000"/>
              <w:right w:val="single" w:sz="4" w:space="0" w:color="000000"/>
            </w:tcBorders>
            <w:shd w:val="clear" w:color="auto" w:fill="auto"/>
            <w:hideMark/>
          </w:tcPr>
          <w:p w14:paraId="0D65924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Office of the Municipal Manager</w:t>
            </w:r>
          </w:p>
        </w:tc>
        <w:tc>
          <w:tcPr>
            <w:tcW w:w="1048" w:type="dxa"/>
            <w:tcBorders>
              <w:top w:val="nil"/>
              <w:left w:val="nil"/>
              <w:bottom w:val="single" w:sz="4" w:space="0" w:color="000000"/>
              <w:right w:val="single" w:sz="4" w:space="0" w:color="000000"/>
            </w:tcBorders>
            <w:shd w:val="clear" w:color="auto" w:fill="auto"/>
            <w:hideMark/>
          </w:tcPr>
          <w:p w14:paraId="0CA9464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Create 50 job opportunities by 30 June 2025</w:t>
            </w:r>
          </w:p>
        </w:tc>
        <w:tc>
          <w:tcPr>
            <w:tcW w:w="1048" w:type="dxa"/>
            <w:tcBorders>
              <w:top w:val="nil"/>
              <w:left w:val="nil"/>
              <w:bottom w:val="single" w:sz="4" w:space="0" w:color="000000"/>
              <w:right w:val="single" w:sz="4" w:space="0" w:color="000000"/>
            </w:tcBorders>
            <w:shd w:val="clear" w:color="auto" w:fill="auto"/>
            <w:hideMark/>
          </w:tcPr>
          <w:p w14:paraId="54FA944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job opportunities created by 30 June</w:t>
            </w:r>
          </w:p>
        </w:tc>
        <w:tc>
          <w:tcPr>
            <w:tcW w:w="1048" w:type="dxa"/>
            <w:tcBorders>
              <w:top w:val="nil"/>
              <w:left w:val="nil"/>
              <w:bottom w:val="single" w:sz="4" w:space="0" w:color="000000"/>
              <w:right w:val="single" w:sz="4" w:space="0" w:color="000000"/>
            </w:tcBorders>
            <w:shd w:val="clear" w:color="auto" w:fill="auto"/>
            <w:hideMark/>
          </w:tcPr>
          <w:p w14:paraId="2C17F46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Create economic centres that provide an enabling environment for business growth job creation and SMME opportunities</w:t>
            </w:r>
          </w:p>
        </w:tc>
        <w:tc>
          <w:tcPr>
            <w:tcW w:w="402" w:type="dxa"/>
            <w:tcBorders>
              <w:top w:val="nil"/>
              <w:left w:val="nil"/>
              <w:bottom w:val="single" w:sz="4" w:space="0" w:color="000000"/>
              <w:right w:val="single" w:sz="4" w:space="0" w:color="000000"/>
            </w:tcBorders>
            <w:shd w:val="clear" w:color="auto" w:fill="auto"/>
            <w:hideMark/>
          </w:tcPr>
          <w:p w14:paraId="2E0840F4"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20</w:t>
            </w:r>
          </w:p>
        </w:tc>
        <w:tc>
          <w:tcPr>
            <w:tcW w:w="225" w:type="dxa"/>
            <w:tcBorders>
              <w:top w:val="nil"/>
              <w:left w:val="nil"/>
              <w:bottom w:val="single" w:sz="4" w:space="0" w:color="000000"/>
              <w:right w:val="single" w:sz="4" w:space="0" w:color="000000"/>
            </w:tcBorders>
            <w:shd w:val="clear" w:color="auto" w:fill="auto"/>
            <w:hideMark/>
          </w:tcPr>
          <w:p w14:paraId="0DB09E32"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20</w:t>
            </w:r>
          </w:p>
        </w:tc>
        <w:tc>
          <w:tcPr>
            <w:tcW w:w="257" w:type="dxa"/>
            <w:tcBorders>
              <w:top w:val="nil"/>
              <w:left w:val="nil"/>
              <w:bottom w:val="single" w:sz="4" w:space="0" w:color="000000"/>
              <w:right w:val="single" w:sz="4" w:space="0" w:color="000000"/>
            </w:tcBorders>
            <w:shd w:val="clear" w:color="auto" w:fill="auto"/>
            <w:hideMark/>
          </w:tcPr>
          <w:p w14:paraId="4BB19791"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0</w:t>
            </w:r>
          </w:p>
        </w:tc>
        <w:tc>
          <w:tcPr>
            <w:tcW w:w="140" w:type="dxa"/>
            <w:tcBorders>
              <w:top w:val="nil"/>
              <w:left w:val="nil"/>
              <w:bottom w:val="single" w:sz="4" w:space="0" w:color="000000"/>
              <w:right w:val="single" w:sz="4" w:space="0" w:color="000000"/>
            </w:tcBorders>
            <w:shd w:val="clear" w:color="000000" w:fill="CC0001"/>
            <w:hideMark/>
          </w:tcPr>
          <w:p w14:paraId="77106060"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4A4E46C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37FD019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00334039"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20</w:t>
            </w:r>
          </w:p>
        </w:tc>
        <w:tc>
          <w:tcPr>
            <w:tcW w:w="225" w:type="dxa"/>
            <w:tcBorders>
              <w:top w:val="nil"/>
              <w:left w:val="nil"/>
              <w:bottom w:val="single" w:sz="4" w:space="0" w:color="000000"/>
              <w:right w:val="single" w:sz="4" w:space="0" w:color="000000"/>
            </w:tcBorders>
            <w:shd w:val="clear" w:color="000000" w:fill="DDDDDD"/>
            <w:hideMark/>
          </w:tcPr>
          <w:p w14:paraId="493384E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20</w:t>
            </w:r>
          </w:p>
        </w:tc>
        <w:tc>
          <w:tcPr>
            <w:tcW w:w="257" w:type="dxa"/>
            <w:tcBorders>
              <w:top w:val="nil"/>
              <w:left w:val="nil"/>
              <w:bottom w:val="single" w:sz="4" w:space="0" w:color="000000"/>
              <w:right w:val="single" w:sz="4" w:space="0" w:color="000000"/>
            </w:tcBorders>
            <w:shd w:val="clear" w:color="000000" w:fill="DDDDDD"/>
            <w:hideMark/>
          </w:tcPr>
          <w:p w14:paraId="587F571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0</w:t>
            </w:r>
          </w:p>
        </w:tc>
        <w:tc>
          <w:tcPr>
            <w:tcW w:w="140" w:type="dxa"/>
            <w:tcBorders>
              <w:top w:val="nil"/>
              <w:left w:val="nil"/>
              <w:bottom w:val="single" w:sz="4" w:space="0" w:color="000000"/>
              <w:right w:val="single" w:sz="4" w:space="0" w:color="000000"/>
            </w:tcBorders>
            <w:shd w:val="clear" w:color="000000" w:fill="CC0001"/>
            <w:hideMark/>
          </w:tcPr>
          <w:p w14:paraId="283D9B5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78E61BF8" w14:textId="77777777" w:rsidTr="008605E8">
        <w:trPr>
          <w:trHeight w:val="1152"/>
        </w:trPr>
        <w:tc>
          <w:tcPr>
            <w:tcW w:w="183" w:type="dxa"/>
            <w:tcBorders>
              <w:top w:val="nil"/>
              <w:left w:val="single" w:sz="4" w:space="0" w:color="000000"/>
              <w:bottom w:val="single" w:sz="4" w:space="0" w:color="000000"/>
              <w:right w:val="single" w:sz="4" w:space="0" w:color="000000"/>
            </w:tcBorders>
            <w:shd w:val="clear" w:color="auto" w:fill="auto"/>
            <w:hideMark/>
          </w:tcPr>
          <w:p w14:paraId="69DE5E4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TL11</w:t>
            </w:r>
          </w:p>
        </w:tc>
        <w:tc>
          <w:tcPr>
            <w:tcW w:w="841" w:type="dxa"/>
            <w:tcBorders>
              <w:top w:val="nil"/>
              <w:left w:val="nil"/>
              <w:bottom w:val="single" w:sz="4" w:space="0" w:color="000000"/>
              <w:right w:val="single" w:sz="4" w:space="0" w:color="000000"/>
            </w:tcBorders>
            <w:shd w:val="clear" w:color="auto" w:fill="auto"/>
            <w:hideMark/>
          </w:tcPr>
          <w:p w14:paraId="12D3F70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Municipal Manager</w:t>
            </w:r>
          </w:p>
        </w:tc>
        <w:tc>
          <w:tcPr>
            <w:tcW w:w="1048" w:type="dxa"/>
            <w:tcBorders>
              <w:top w:val="nil"/>
              <w:left w:val="nil"/>
              <w:bottom w:val="single" w:sz="4" w:space="0" w:color="000000"/>
              <w:right w:val="single" w:sz="4" w:space="0" w:color="000000"/>
            </w:tcBorders>
            <w:shd w:val="clear" w:color="auto" w:fill="auto"/>
            <w:hideMark/>
          </w:tcPr>
          <w:p w14:paraId="68B89F9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Office of the Municipal Manager</w:t>
            </w:r>
          </w:p>
        </w:tc>
        <w:tc>
          <w:tcPr>
            <w:tcW w:w="1048" w:type="dxa"/>
            <w:tcBorders>
              <w:top w:val="nil"/>
              <w:left w:val="nil"/>
              <w:bottom w:val="single" w:sz="4" w:space="0" w:color="000000"/>
              <w:right w:val="single" w:sz="4" w:space="0" w:color="000000"/>
            </w:tcBorders>
            <w:shd w:val="clear" w:color="auto" w:fill="auto"/>
            <w:hideMark/>
          </w:tcPr>
          <w:p w14:paraId="0DCF016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Spend 95% of the library operational conditional grant by 30 June 2025 {(Actual expenditure divided by the total grant received) x 100}</w:t>
            </w:r>
          </w:p>
        </w:tc>
        <w:tc>
          <w:tcPr>
            <w:tcW w:w="1048" w:type="dxa"/>
            <w:tcBorders>
              <w:top w:val="nil"/>
              <w:left w:val="nil"/>
              <w:bottom w:val="single" w:sz="4" w:space="0" w:color="000000"/>
              <w:right w:val="single" w:sz="4" w:space="0" w:color="000000"/>
            </w:tcBorders>
            <w:shd w:val="clear" w:color="auto" w:fill="auto"/>
            <w:hideMark/>
          </w:tcPr>
          <w:p w14:paraId="5974AF7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budget spent</w:t>
            </w:r>
          </w:p>
        </w:tc>
        <w:tc>
          <w:tcPr>
            <w:tcW w:w="1048" w:type="dxa"/>
            <w:tcBorders>
              <w:top w:val="nil"/>
              <w:left w:val="nil"/>
              <w:bottom w:val="single" w:sz="4" w:space="0" w:color="000000"/>
              <w:right w:val="single" w:sz="4" w:space="0" w:color="000000"/>
            </w:tcBorders>
            <w:shd w:val="clear" w:color="auto" w:fill="auto"/>
            <w:hideMark/>
          </w:tcPr>
          <w:p w14:paraId="6C7B6DA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562A4CD9"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w:t>
            </w:r>
          </w:p>
        </w:tc>
        <w:tc>
          <w:tcPr>
            <w:tcW w:w="225" w:type="dxa"/>
            <w:tcBorders>
              <w:top w:val="nil"/>
              <w:left w:val="nil"/>
              <w:bottom w:val="single" w:sz="4" w:space="0" w:color="000000"/>
              <w:right w:val="single" w:sz="4" w:space="0" w:color="000000"/>
            </w:tcBorders>
            <w:shd w:val="clear" w:color="auto" w:fill="auto"/>
            <w:hideMark/>
          </w:tcPr>
          <w:p w14:paraId="2FD30F0E"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w:t>
            </w:r>
          </w:p>
        </w:tc>
        <w:tc>
          <w:tcPr>
            <w:tcW w:w="257" w:type="dxa"/>
            <w:tcBorders>
              <w:top w:val="nil"/>
              <w:left w:val="nil"/>
              <w:bottom w:val="single" w:sz="4" w:space="0" w:color="000000"/>
              <w:right w:val="single" w:sz="4" w:space="0" w:color="000000"/>
            </w:tcBorders>
            <w:shd w:val="clear" w:color="auto" w:fill="auto"/>
            <w:hideMark/>
          </w:tcPr>
          <w:p w14:paraId="4EF546F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31.80</w:t>
            </w:r>
          </w:p>
        </w:tc>
        <w:tc>
          <w:tcPr>
            <w:tcW w:w="140" w:type="dxa"/>
            <w:tcBorders>
              <w:top w:val="nil"/>
              <w:left w:val="nil"/>
              <w:bottom w:val="single" w:sz="4" w:space="0" w:color="000000"/>
              <w:right w:val="single" w:sz="4" w:space="0" w:color="000000"/>
            </w:tcBorders>
            <w:shd w:val="clear" w:color="000000" w:fill="FE9900"/>
            <w:hideMark/>
          </w:tcPr>
          <w:p w14:paraId="32B0DC2F"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c>
          <w:tcPr>
            <w:tcW w:w="1048" w:type="dxa"/>
            <w:tcBorders>
              <w:top w:val="nil"/>
              <w:left w:val="nil"/>
              <w:bottom w:val="single" w:sz="4" w:space="0" w:color="000000"/>
              <w:right w:val="single" w:sz="4" w:space="0" w:color="000000"/>
            </w:tcBorders>
            <w:shd w:val="clear" w:color="auto" w:fill="auto"/>
            <w:hideMark/>
          </w:tcPr>
          <w:p w14:paraId="45FBB81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[D182] Manager: Community Services: Received funds a bit late (December 2024)</w:t>
            </w:r>
          </w:p>
        </w:tc>
        <w:tc>
          <w:tcPr>
            <w:tcW w:w="1048" w:type="dxa"/>
            <w:tcBorders>
              <w:top w:val="nil"/>
              <w:left w:val="nil"/>
              <w:bottom w:val="single" w:sz="4" w:space="0" w:color="000000"/>
              <w:right w:val="single" w:sz="4" w:space="0" w:color="000000"/>
            </w:tcBorders>
            <w:shd w:val="clear" w:color="auto" w:fill="auto"/>
            <w:hideMark/>
          </w:tcPr>
          <w:p w14:paraId="64D2FD7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[D182] Manager: Community Services: Will spend 60% by March 2025 (December 2024)</w:t>
            </w:r>
          </w:p>
        </w:tc>
        <w:tc>
          <w:tcPr>
            <w:tcW w:w="402" w:type="dxa"/>
            <w:tcBorders>
              <w:top w:val="nil"/>
              <w:left w:val="nil"/>
              <w:bottom w:val="single" w:sz="4" w:space="0" w:color="000000"/>
              <w:right w:val="single" w:sz="4" w:space="0" w:color="000000"/>
            </w:tcBorders>
            <w:shd w:val="clear" w:color="000000" w:fill="DDDDDD"/>
            <w:hideMark/>
          </w:tcPr>
          <w:p w14:paraId="0D536CC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w:t>
            </w:r>
          </w:p>
        </w:tc>
        <w:tc>
          <w:tcPr>
            <w:tcW w:w="225" w:type="dxa"/>
            <w:tcBorders>
              <w:top w:val="nil"/>
              <w:left w:val="nil"/>
              <w:bottom w:val="single" w:sz="4" w:space="0" w:color="000000"/>
              <w:right w:val="single" w:sz="4" w:space="0" w:color="000000"/>
            </w:tcBorders>
            <w:shd w:val="clear" w:color="000000" w:fill="DDDDDD"/>
            <w:hideMark/>
          </w:tcPr>
          <w:p w14:paraId="54816D0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w:t>
            </w:r>
          </w:p>
        </w:tc>
        <w:tc>
          <w:tcPr>
            <w:tcW w:w="257" w:type="dxa"/>
            <w:tcBorders>
              <w:top w:val="nil"/>
              <w:left w:val="nil"/>
              <w:bottom w:val="single" w:sz="4" w:space="0" w:color="000000"/>
              <w:right w:val="single" w:sz="4" w:space="0" w:color="000000"/>
            </w:tcBorders>
            <w:shd w:val="clear" w:color="000000" w:fill="DDDDDD"/>
            <w:hideMark/>
          </w:tcPr>
          <w:p w14:paraId="04418C9A"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31.80</w:t>
            </w:r>
          </w:p>
        </w:tc>
        <w:tc>
          <w:tcPr>
            <w:tcW w:w="140" w:type="dxa"/>
            <w:tcBorders>
              <w:top w:val="nil"/>
              <w:left w:val="nil"/>
              <w:bottom w:val="single" w:sz="4" w:space="0" w:color="000000"/>
              <w:right w:val="single" w:sz="4" w:space="0" w:color="000000"/>
            </w:tcBorders>
            <w:shd w:val="clear" w:color="000000" w:fill="FE9900"/>
            <w:hideMark/>
          </w:tcPr>
          <w:p w14:paraId="61BBB39B"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r>
      <w:tr w:rsidR="00C91F4B" w:rsidRPr="001D53BD" w14:paraId="6E26B5AA"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2ECBF10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TL16</w:t>
            </w:r>
          </w:p>
        </w:tc>
        <w:tc>
          <w:tcPr>
            <w:tcW w:w="841" w:type="dxa"/>
            <w:tcBorders>
              <w:top w:val="nil"/>
              <w:left w:val="nil"/>
              <w:bottom w:val="single" w:sz="4" w:space="0" w:color="000000"/>
              <w:right w:val="single" w:sz="4" w:space="0" w:color="000000"/>
            </w:tcBorders>
            <w:shd w:val="clear" w:color="auto" w:fill="auto"/>
            <w:hideMark/>
          </w:tcPr>
          <w:p w14:paraId="60EB789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447DC57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280C6DA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Achieve a debtor payment percentage of 90% by 30 June 2025 {(Gross Debtors Closing Balance + Billed Revenue - Gross Debtors Opening Balance - Bad Debts Written Off)/Billed Revenue) x 100}</w:t>
            </w:r>
          </w:p>
        </w:tc>
        <w:tc>
          <w:tcPr>
            <w:tcW w:w="1048" w:type="dxa"/>
            <w:tcBorders>
              <w:top w:val="nil"/>
              <w:left w:val="nil"/>
              <w:bottom w:val="single" w:sz="4" w:space="0" w:color="000000"/>
              <w:right w:val="single" w:sz="4" w:space="0" w:color="000000"/>
            </w:tcBorders>
            <w:shd w:val="clear" w:color="auto" w:fill="auto"/>
            <w:hideMark/>
          </w:tcPr>
          <w:p w14:paraId="7FD82F5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Debtor payment achieved</w:t>
            </w:r>
          </w:p>
        </w:tc>
        <w:tc>
          <w:tcPr>
            <w:tcW w:w="1048" w:type="dxa"/>
            <w:tcBorders>
              <w:top w:val="nil"/>
              <w:left w:val="nil"/>
              <w:bottom w:val="single" w:sz="4" w:space="0" w:color="000000"/>
              <w:right w:val="single" w:sz="4" w:space="0" w:color="000000"/>
            </w:tcBorders>
            <w:shd w:val="clear" w:color="auto" w:fill="auto"/>
            <w:hideMark/>
          </w:tcPr>
          <w:p w14:paraId="239DA80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Improve financial viability and sustainability through efficient budget processes financial systems and legislative requirements</w:t>
            </w:r>
          </w:p>
        </w:tc>
        <w:tc>
          <w:tcPr>
            <w:tcW w:w="402" w:type="dxa"/>
            <w:tcBorders>
              <w:top w:val="nil"/>
              <w:left w:val="nil"/>
              <w:bottom w:val="single" w:sz="4" w:space="0" w:color="000000"/>
              <w:right w:val="single" w:sz="4" w:space="0" w:color="000000"/>
            </w:tcBorders>
            <w:shd w:val="clear" w:color="auto" w:fill="auto"/>
            <w:hideMark/>
          </w:tcPr>
          <w:p w14:paraId="7243D2A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90.00%</w:t>
            </w:r>
          </w:p>
        </w:tc>
        <w:tc>
          <w:tcPr>
            <w:tcW w:w="225" w:type="dxa"/>
            <w:tcBorders>
              <w:top w:val="nil"/>
              <w:left w:val="nil"/>
              <w:bottom w:val="single" w:sz="4" w:space="0" w:color="000000"/>
              <w:right w:val="single" w:sz="4" w:space="0" w:color="000000"/>
            </w:tcBorders>
            <w:shd w:val="clear" w:color="auto" w:fill="auto"/>
            <w:hideMark/>
          </w:tcPr>
          <w:p w14:paraId="2EF5672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90.00%</w:t>
            </w:r>
          </w:p>
        </w:tc>
        <w:tc>
          <w:tcPr>
            <w:tcW w:w="257" w:type="dxa"/>
            <w:tcBorders>
              <w:top w:val="nil"/>
              <w:left w:val="nil"/>
              <w:bottom w:val="single" w:sz="4" w:space="0" w:color="000000"/>
              <w:right w:val="single" w:sz="4" w:space="0" w:color="000000"/>
            </w:tcBorders>
            <w:shd w:val="clear" w:color="auto" w:fill="auto"/>
            <w:hideMark/>
          </w:tcPr>
          <w:p w14:paraId="1782064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71.00%</w:t>
            </w:r>
          </w:p>
        </w:tc>
        <w:tc>
          <w:tcPr>
            <w:tcW w:w="140" w:type="dxa"/>
            <w:tcBorders>
              <w:top w:val="nil"/>
              <w:left w:val="nil"/>
              <w:bottom w:val="single" w:sz="4" w:space="0" w:color="000000"/>
              <w:right w:val="single" w:sz="4" w:space="0" w:color="000000"/>
            </w:tcBorders>
            <w:shd w:val="clear" w:color="000000" w:fill="FE9900"/>
            <w:hideMark/>
          </w:tcPr>
          <w:p w14:paraId="7237887D"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c>
          <w:tcPr>
            <w:tcW w:w="1048" w:type="dxa"/>
            <w:tcBorders>
              <w:top w:val="nil"/>
              <w:left w:val="nil"/>
              <w:bottom w:val="single" w:sz="4" w:space="0" w:color="000000"/>
              <w:right w:val="single" w:sz="4" w:space="0" w:color="000000"/>
            </w:tcBorders>
            <w:shd w:val="clear" w:color="auto" w:fill="auto"/>
            <w:hideMark/>
          </w:tcPr>
          <w:p w14:paraId="577C142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[D115] Chief Financial Officer: Improvement since September 2024 58% (December 2024)</w:t>
            </w:r>
          </w:p>
        </w:tc>
        <w:tc>
          <w:tcPr>
            <w:tcW w:w="1048" w:type="dxa"/>
            <w:tcBorders>
              <w:top w:val="nil"/>
              <w:left w:val="nil"/>
              <w:bottom w:val="single" w:sz="4" w:space="0" w:color="000000"/>
              <w:right w:val="single" w:sz="4" w:space="0" w:color="000000"/>
            </w:tcBorders>
            <w:shd w:val="clear" w:color="auto" w:fill="auto"/>
            <w:hideMark/>
          </w:tcPr>
          <w:p w14:paraId="4E1EEA6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[D115] Chief Financial Officer: Uphold current controls (December 2024)</w:t>
            </w:r>
          </w:p>
        </w:tc>
        <w:tc>
          <w:tcPr>
            <w:tcW w:w="402" w:type="dxa"/>
            <w:tcBorders>
              <w:top w:val="nil"/>
              <w:left w:val="nil"/>
              <w:bottom w:val="single" w:sz="4" w:space="0" w:color="000000"/>
              <w:right w:val="single" w:sz="4" w:space="0" w:color="000000"/>
            </w:tcBorders>
            <w:shd w:val="clear" w:color="000000" w:fill="DDDDDD"/>
            <w:hideMark/>
          </w:tcPr>
          <w:p w14:paraId="1314168A"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90.00%</w:t>
            </w:r>
          </w:p>
        </w:tc>
        <w:tc>
          <w:tcPr>
            <w:tcW w:w="225" w:type="dxa"/>
            <w:tcBorders>
              <w:top w:val="nil"/>
              <w:left w:val="nil"/>
              <w:bottom w:val="single" w:sz="4" w:space="0" w:color="000000"/>
              <w:right w:val="single" w:sz="4" w:space="0" w:color="000000"/>
            </w:tcBorders>
            <w:shd w:val="clear" w:color="000000" w:fill="DDDDDD"/>
            <w:hideMark/>
          </w:tcPr>
          <w:p w14:paraId="04B175C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90.00%</w:t>
            </w:r>
          </w:p>
        </w:tc>
        <w:tc>
          <w:tcPr>
            <w:tcW w:w="257" w:type="dxa"/>
            <w:tcBorders>
              <w:top w:val="nil"/>
              <w:left w:val="nil"/>
              <w:bottom w:val="single" w:sz="4" w:space="0" w:color="000000"/>
              <w:right w:val="single" w:sz="4" w:space="0" w:color="000000"/>
            </w:tcBorders>
            <w:shd w:val="clear" w:color="000000" w:fill="DDDDDD"/>
            <w:hideMark/>
          </w:tcPr>
          <w:p w14:paraId="27008F11"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71.00%</w:t>
            </w:r>
          </w:p>
        </w:tc>
        <w:tc>
          <w:tcPr>
            <w:tcW w:w="140" w:type="dxa"/>
            <w:tcBorders>
              <w:top w:val="nil"/>
              <w:left w:val="nil"/>
              <w:bottom w:val="single" w:sz="4" w:space="0" w:color="000000"/>
              <w:right w:val="single" w:sz="4" w:space="0" w:color="000000"/>
            </w:tcBorders>
            <w:shd w:val="clear" w:color="000000" w:fill="FE9900"/>
            <w:hideMark/>
          </w:tcPr>
          <w:p w14:paraId="5B7D39FE"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r>
      <w:tr w:rsidR="00C91F4B" w:rsidRPr="001D53BD" w14:paraId="484EEE58"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5E14264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TL17</w:t>
            </w:r>
          </w:p>
        </w:tc>
        <w:tc>
          <w:tcPr>
            <w:tcW w:w="841" w:type="dxa"/>
            <w:tcBorders>
              <w:top w:val="nil"/>
              <w:left w:val="nil"/>
              <w:bottom w:val="single" w:sz="4" w:space="0" w:color="000000"/>
              <w:right w:val="single" w:sz="4" w:space="0" w:color="000000"/>
            </w:tcBorders>
            <w:shd w:val="clear" w:color="auto" w:fill="auto"/>
            <w:hideMark/>
          </w:tcPr>
          <w:p w14:paraId="460D64C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0AE12C1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7B64845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free basic water to indigent households in terms of the approved indigent policy as at 30 June 2025</w:t>
            </w:r>
          </w:p>
        </w:tc>
        <w:tc>
          <w:tcPr>
            <w:tcW w:w="1048" w:type="dxa"/>
            <w:tcBorders>
              <w:top w:val="nil"/>
              <w:left w:val="nil"/>
              <w:bottom w:val="single" w:sz="4" w:space="0" w:color="000000"/>
              <w:right w:val="single" w:sz="4" w:space="0" w:color="000000"/>
            </w:tcBorders>
            <w:shd w:val="clear" w:color="auto" w:fill="auto"/>
            <w:hideMark/>
          </w:tcPr>
          <w:p w14:paraId="5A3589E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households receiving free basic water</w:t>
            </w:r>
          </w:p>
        </w:tc>
        <w:tc>
          <w:tcPr>
            <w:tcW w:w="1048" w:type="dxa"/>
            <w:tcBorders>
              <w:top w:val="nil"/>
              <w:left w:val="nil"/>
              <w:bottom w:val="single" w:sz="4" w:space="0" w:color="000000"/>
              <w:right w:val="single" w:sz="4" w:space="0" w:color="000000"/>
            </w:tcBorders>
            <w:shd w:val="clear" w:color="auto" w:fill="auto"/>
            <w:hideMark/>
          </w:tcPr>
          <w:p w14:paraId="52F7E7F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0B89C28C"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920</w:t>
            </w:r>
          </w:p>
        </w:tc>
        <w:tc>
          <w:tcPr>
            <w:tcW w:w="225" w:type="dxa"/>
            <w:tcBorders>
              <w:top w:val="nil"/>
              <w:left w:val="nil"/>
              <w:bottom w:val="single" w:sz="4" w:space="0" w:color="000000"/>
              <w:right w:val="single" w:sz="4" w:space="0" w:color="000000"/>
            </w:tcBorders>
            <w:shd w:val="clear" w:color="auto" w:fill="auto"/>
            <w:hideMark/>
          </w:tcPr>
          <w:p w14:paraId="3EF93EF7"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920</w:t>
            </w:r>
          </w:p>
        </w:tc>
        <w:tc>
          <w:tcPr>
            <w:tcW w:w="257" w:type="dxa"/>
            <w:tcBorders>
              <w:top w:val="nil"/>
              <w:left w:val="nil"/>
              <w:bottom w:val="single" w:sz="4" w:space="0" w:color="000000"/>
              <w:right w:val="single" w:sz="4" w:space="0" w:color="000000"/>
            </w:tcBorders>
            <w:shd w:val="clear" w:color="auto" w:fill="auto"/>
            <w:hideMark/>
          </w:tcPr>
          <w:p w14:paraId="7AF155DB"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1777A161"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6376D29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6079C83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3B02CC42"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920</w:t>
            </w:r>
          </w:p>
        </w:tc>
        <w:tc>
          <w:tcPr>
            <w:tcW w:w="225" w:type="dxa"/>
            <w:tcBorders>
              <w:top w:val="nil"/>
              <w:left w:val="nil"/>
              <w:bottom w:val="single" w:sz="4" w:space="0" w:color="000000"/>
              <w:right w:val="single" w:sz="4" w:space="0" w:color="000000"/>
            </w:tcBorders>
            <w:shd w:val="clear" w:color="000000" w:fill="DDDDDD"/>
            <w:hideMark/>
          </w:tcPr>
          <w:p w14:paraId="7562D77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920</w:t>
            </w:r>
          </w:p>
        </w:tc>
        <w:tc>
          <w:tcPr>
            <w:tcW w:w="257" w:type="dxa"/>
            <w:tcBorders>
              <w:top w:val="nil"/>
              <w:left w:val="nil"/>
              <w:bottom w:val="single" w:sz="4" w:space="0" w:color="000000"/>
              <w:right w:val="single" w:sz="4" w:space="0" w:color="000000"/>
            </w:tcBorders>
            <w:shd w:val="clear" w:color="000000" w:fill="DDDDDD"/>
            <w:hideMark/>
          </w:tcPr>
          <w:p w14:paraId="6BF1DC9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38A90C70"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5B31F76F"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171A6EA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TL18</w:t>
            </w:r>
          </w:p>
        </w:tc>
        <w:tc>
          <w:tcPr>
            <w:tcW w:w="841" w:type="dxa"/>
            <w:tcBorders>
              <w:top w:val="nil"/>
              <w:left w:val="nil"/>
              <w:bottom w:val="single" w:sz="4" w:space="0" w:color="000000"/>
              <w:right w:val="single" w:sz="4" w:space="0" w:color="000000"/>
            </w:tcBorders>
            <w:shd w:val="clear" w:color="auto" w:fill="auto"/>
            <w:hideMark/>
          </w:tcPr>
          <w:p w14:paraId="6C13B77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4B73007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15E4B43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free basic electricity to indigent households earning in terms of the approved indigent policy at 30 June 2025</w:t>
            </w:r>
          </w:p>
        </w:tc>
        <w:tc>
          <w:tcPr>
            <w:tcW w:w="1048" w:type="dxa"/>
            <w:tcBorders>
              <w:top w:val="nil"/>
              <w:left w:val="nil"/>
              <w:bottom w:val="single" w:sz="4" w:space="0" w:color="000000"/>
              <w:right w:val="single" w:sz="4" w:space="0" w:color="000000"/>
            </w:tcBorders>
            <w:shd w:val="clear" w:color="auto" w:fill="auto"/>
            <w:hideMark/>
          </w:tcPr>
          <w:p w14:paraId="01E2483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households receiving free basic electricity</w:t>
            </w:r>
          </w:p>
        </w:tc>
        <w:tc>
          <w:tcPr>
            <w:tcW w:w="1048" w:type="dxa"/>
            <w:tcBorders>
              <w:top w:val="nil"/>
              <w:left w:val="nil"/>
              <w:bottom w:val="single" w:sz="4" w:space="0" w:color="000000"/>
              <w:right w:val="single" w:sz="4" w:space="0" w:color="000000"/>
            </w:tcBorders>
            <w:shd w:val="clear" w:color="auto" w:fill="auto"/>
            <w:hideMark/>
          </w:tcPr>
          <w:p w14:paraId="60F8721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363CD018"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600</w:t>
            </w:r>
          </w:p>
        </w:tc>
        <w:tc>
          <w:tcPr>
            <w:tcW w:w="225" w:type="dxa"/>
            <w:tcBorders>
              <w:top w:val="nil"/>
              <w:left w:val="nil"/>
              <w:bottom w:val="single" w:sz="4" w:space="0" w:color="000000"/>
              <w:right w:val="single" w:sz="4" w:space="0" w:color="000000"/>
            </w:tcBorders>
            <w:shd w:val="clear" w:color="auto" w:fill="auto"/>
            <w:hideMark/>
          </w:tcPr>
          <w:p w14:paraId="5607F1FF"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600</w:t>
            </w:r>
          </w:p>
        </w:tc>
        <w:tc>
          <w:tcPr>
            <w:tcW w:w="257" w:type="dxa"/>
            <w:tcBorders>
              <w:top w:val="nil"/>
              <w:left w:val="nil"/>
              <w:bottom w:val="single" w:sz="4" w:space="0" w:color="000000"/>
              <w:right w:val="single" w:sz="4" w:space="0" w:color="000000"/>
            </w:tcBorders>
            <w:shd w:val="clear" w:color="auto" w:fill="auto"/>
            <w:hideMark/>
          </w:tcPr>
          <w:p w14:paraId="09DBB635"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974</w:t>
            </w:r>
          </w:p>
        </w:tc>
        <w:tc>
          <w:tcPr>
            <w:tcW w:w="140" w:type="dxa"/>
            <w:tcBorders>
              <w:top w:val="nil"/>
              <w:left w:val="nil"/>
              <w:bottom w:val="single" w:sz="4" w:space="0" w:color="000000"/>
              <w:right w:val="single" w:sz="4" w:space="0" w:color="000000"/>
            </w:tcBorders>
            <w:shd w:val="clear" w:color="000000" w:fill="000077"/>
            <w:hideMark/>
          </w:tcPr>
          <w:p w14:paraId="4CE9B850"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B</w:t>
            </w:r>
          </w:p>
        </w:tc>
        <w:tc>
          <w:tcPr>
            <w:tcW w:w="1048" w:type="dxa"/>
            <w:tcBorders>
              <w:top w:val="nil"/>
              <w:left w:val="nil"/>
              <w:bottom w:val="single" w:sz="4" w:space="0" w:color="000000"/>
              <w:right w:val="single" w:sz="4" w:space="0" w:color="000000"/>
            </w:tcBorders>
            <w:shd w:val="clear" w:color="auto" w:fill="auto"/>
            <w:hideMark/>
          </w:tcPr>
          <w:p w14:paraId="3D50C39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5E6C01E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70919511"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600</w:t>
            </w:r>
          </w:p>
        </w:tc>
        <w:tc>
          <w:tcPr>
            <w:tcW w:w="225" w:type="dxa"/>
            <w:tcBorders>
              <w:top w:val="nil"/>
              <w:left w:val="nil"/>
              <w:bottom w:val="single" w:sz="4" w:space="0" w:color="000000"/>
              <w:right w:val="single" w:sz="4" w:space="0" w:color="000000"/>
            </w:tcBorders>
            <w:shd w:val="clear" w:color="000000" w:fill="DDDDDD"/>
            <w:hideMark/>
          </w:tcPr>
          <w:p w14:paraId="1C109614"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600</w:t>
            </w:r>
          </w:p>
        </w:tc>
        <w:tc>
          <w:tcPr>
            <w:tcW w:w="257" w:type="dxa"/>
            <w:tcBorders>
              <w:top w:val="nil"/>
              <w:left w:val="nil"/>
              <w:bottom w:val="single" w:sz="4" w:space="0" w:color="000000"/>
              <w:right w:val="single" w:sz="4" w:space="0" w:color="000000"/>
            </w:tcBorders>
            <w:shd w:val="clear" w:color="000000" w:fill="DDDDDD"/>
            <w:hideMark/>
          </w:tcPr>
          <w:p w14:paraId="435A3C21"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974</w:t>
            </w:r>
          </w:p>
        </w:tc>
        <w:tc>
          <w:tcPr>
            <w:tcW w:w="140" w:type="dxa"/>
            <w:tcBorders>
              <w:top w:val="nil"/>
              <w:left w:val="nil"/>
              <w:bottom w:val="single" w:sz="4" w:space="0" w:color="000000"/>
              <w:right w:val="single" w:sz="4" w:space="0" w:color="000000"/>
            </w:tcBorders>
            <w:shd w:val="clear" w:color="000000" w:fill="000077"/>
            <w:hideMark/>
          </w:tcPr>
          <w:p w14:paraId="77C1A709"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B</w:t>
            </w:r>
          </w:p>
        </w:tc>
      </w:tr>
      <w:tr w:rsidR="00C91F4B" w:rsidRPr="001D53BD" w14:paraId="7AB38CB2"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26EE3E3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TL19</w:t>
            </w:r>
          </w:p>
        </w:tc>
        <w:tc>
          <w:tcPr>
            <w:tcW w:w="841" w:type="dxa"/>
            <w:tcBorders>
              <w:top w:val="nil"/>
              <w:left w:val="nil"/>
              <w:bottom w:val="single" w:sz="4" w:space="0" w:color="000000"/>
              <w:right w:val="single" w:sz="4" w:space="0" w:color="000000"/>
            </w:tcBorders>
            <w:shd w:val="clear" w:color="auto" w:fill="auto"/>
            <w:hideMark/>
          </w:tcPr>
          <w:p w14:paraId="1CD54BC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3DC8C09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5990927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free basic sanitation to indigent households in terms of the approved indigent policy at 30 June 2025</w:t>
            </w:r>
          </w:p>
        </w:tc>
        <w:tc>
          <w:tcPr>
            <w:tcW w:w="1048" w:type="dxa"/>
            <w:tcBorders>
              <w:top w:val="nil"/>
              <w:left w:val="nil"/>
              <w:bottom w:val="single" w:sz="4" w:space="0" w:color="000000"/>
              <w:right w:val="single" w:sz="4" w:space="0" w:color="000000"/>
            </w:tcBorders>
            <w:shd w:val="clear" w:color="auto" w:fill="auto"/>
            <w:hideMark/>
          </w:tcPr>
          <w:p w14:paraId="1A5052A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households receiving free basic sanitation</w:t>
            </w:r>
          </w:p>
        </w:tc>
        <w:tc>
          <w:tcPr>
            <w:tcW w:w="1048" w:type="dxa"/>
            <w:tcBorders>
              <w:top w:val="nil"/>
              <w:left w:val="nil"/>
              <w:bottom w:val="single" w:sz="4" w:space="0" w:color="000000"/>
              <w:right w:val="single" w:sz="4" w:space="0" w:color="000000"/>
            </w:tcBorders>
            <w:shd w:val="clear" w:color="auto" w:fill="auto"/>
            <w:hideMark/>
          </w:tcPr>
          <w:p w14:paraId="1680701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585919DD"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1 210</w:t>
            </w:r>
          </w:p>
        </w:tc>
        <w:tc>
          <w:tcPr>
            <w:tcW w:w="225" w:type="dxa"/>
            <w:tcBorders>
              <w:top w:val="nil"/>
              <w:left w:val="nil"/>
              <w:bottom w:val="single" w:sz="4" w:space="0" w:color="000000"/>
              <w:right w:val="single" w:sz="4" w:space="0" w:color="000000"/>
            </w:tcBorders>
            <w:shd w:val="clear" w:color="auto" w:fill="auto"/>
            <w:hideMark/>
          </w:tcPr>
          <w:p w14:paraId="6D42289F"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1 210</w:t>
            </w:r>
          </w:p>
        </w:tc>
        <w:tc>
          <w:tcPr>
            <w:tcW w:w="257" w:type="dxa"/>
            <w:tcBorders>
              <w:top w:val="nil"/>
              <w:left w:val="nil"/>
              <w:bottom w:val="single" w:sz="4" w:space="0" w:color="000000"/>
              <w:right w:val="single" w:sz="4" w:space="0" w:color="000000"/>
            </w:tcBorders>
            <w:shd w:val="clear" w:color="auto" w:fill="auto"/>
            <w:hideMark/>
          </w:tcPr>
          <w:p w14:paraId="1E1D46D6"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643348F2"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1E82578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0964102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5ECBD67F"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1 210</w:t>
            </w:r>
          </w:p>
        </w:tc>
        <w:tc>
          <w:tcPr>
            <w:tcW w:w="225" w:type="dxa"/>
            <w:tcBorders>
              <w:top w:val="nil"/>
              <w:left w:val="nil"/>
              <w:bottom w:val="single" w:sz="4" w:space="0" w:color="000000"/>
              <w:right w:val="single" w:sz="4" w:space="0" w:color="000000"/>
            </w:tcBorders>
            <w:shd w:val="clear" w:color="000000" w:fill="DDDDDD"/>
            <w:hideMark/>
          </w:tcPr>
          <w:p w14:paraId="4CF0A06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1 210</w:t>
            </w:r>
          </w:p>
        </w:tc>
        <w:tc>
          <w:tcPr>
            <w:tcW w:w="257" w:type="dxa"/>
            <w:tcBorders>
              <w:top w:val="nil"/>
              <w:left w:val="nil"/>
              <w:bottom w:val="single" w:sz="4" w:space="0" w:color="000000"/>
              <w:right w:val="single" w:sz="4" w:space="0" w:color="000000"/>
            </w:tcBorders>
            <w:shd w:val="clear" w:color="000000" w:fill="DDDDDD"/>
            <w:hideMark/>
          </w:tcPr>
          <w:p w14:paraId="46474AB7"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380A3582"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67013DF1"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55298C0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TL20</w:t>
            </w:r>
          </w:p>
        </w:tc>
        <w:tc>
          <w:tcPr>
            <w:tcW w:w="841" w:type="dxa"/>
            <w:tcBorders>
              <w:top w:val="nil"/>
              <w:left w:val="nil"/>
              <w:bottom w:val="single" w:sz="4" w:space="0" w:color="000000"/>
              <w:right w:val="single" w:sz="4" w:space="0" w:color="000000"/>
            </w:tcBorders>
            <w:shd w:val="clear" w:color="auto" w:fill="auto"/>
            <w:hideMark/>
          </w:tcPr>
          <w:p w14:paraId="35ED38F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68AF287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22AFEA5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free basic refuse removal to indigent households in terms of the approved indigent policy at 30 June 2025</w:t>
            </w:r>
          </w:p>
        </w:tc>
        <w:tc>
          <w:tcPr>
            <w:tcW w:w="1048" w:type="dxa"/>
            <w:tcBorders>
              <w:top w:val="nil"/>
              <w:left w:val="nil"/>
              <w:bottom w:val="single" w:sz="4" w:space="0" w:color="000000"/>
              <w:right w:val="single" w:sz="4" w:space="0" w:color="000000"/>
            </w:tcBorders>
            <w:shd w:val="clear" w:color="auto" w:fill="auto"/>
            <w:hideMark/>
          </w:tcPr>
          <w:p w14:paraId="51BE03A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households receiving free basic refuse</w:t>
            </w:r>
          </w:p>
        </w:tc>
        <w:tc>
          <w:tcPr>
            <w:tcW w:w="1048" w:type="dxa"/>
            <w:tcBorders>
              <w:top w:val="nil"/>
              <w:left w:val="nil"/>
              <w:bottom w:val="single" w:sz="4" w:space="0" w:color="000000"/>
              <w:right w:val="single" w:sz="4" w:space="0" w:color="000000"/>
            </w:tcBorders>
            <w:shd w:val="clear" w:color="auto" w:fill="auto"/>
            <w:hideMark/>
          </w:tcPr>
          <w:p w14:paraId="019E83F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39398F52"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1 210</w:t>
            </w:r>
          </w:p>
        </w:tc>
        <w:tc>
          <w:tcPr>
            <w:tcW w:w="225" w:type="dxa"/>
            <w:tcBorders>
              <w:top w:val="nil"/>
              <w:left w:val="nil"/>
              <w:bottom w:val="single" w:sz="4" w:space="0" w:color="000000"/>
              <w:right w:val="single" w:sz="4" w:space="0" w:color="000000"/>
            </w:tcBorders>
            <w:shd w:val="clear" w:color="auto" w:fill="auto"/>
            <w:hideMark/>
          </w:tcPr>
          <w:p w14:paraId="703C088A"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1 210</w:t>
            </w:r>
          </w:p>
        </w:tc>
        <w:tc>
          <w:tcPr>
            <w:tcW w:w="257" w:type="dxa"/>
            <w:tcBorders>
              <w:top w:val="nil"/>
              <w:left w:val="nil"/>
              <w:bottom w:val="single" w:sz="4" w:space="0" w:color="000000"/>
              <w:right w:val="single" w:sz="4" w:space="0" w:color="000000"/>
            </w:tcBorders>
            <w:shd w:val="clear" w:color="auto" w:fill="auto"/>
            <w:hideMark/>
          </w:tcPr>
          <w:p w14:paraId="4A2093F0"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5ED83720"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27C7B7C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33E1BEA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765D094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1 210</w:t>
            </w:r>
          </w:p>
        </w:tc>
        <w:tc>
          <w:tcPr>
            <w:tcW w:w="225" w:type="dxa"/>
            <w:tcBorders>
              <w:top w:val="nil"/>
              <w:left w:val="nil"/>
              <w:bottom w:val="single" w:sz="4" w:space="0" w:color="000000"/>
              <w:right w:val="single" w:sz="4" w:space="0" w:color="000000"/>
            </w:tcBorders>
            <w:shd w:val="clear" w:color="000000" w:fill="DDDDDD"/>
            <w:hideMark/>
          </w:tcPr>
          <w:p w14:paraId="6A3AC4FC"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1 210</w:t>
            </w:r>
          </w:p>
        </w:tc>
        <w:tc>
          <w:tcPr>
            <w:tcW w:w="257" w:type="dxa"/>
            <w:tcBorders>
              <w:top w:val="nil"/>
              <w:left w:val="nil"/>
              <w:bottom w:val="single" w:sz="4" w:space="0" w:color="000000"/>
              <w:right w:val="single" w:sz="4" w:space="0" w:color="000000"/>
            </w:tcBorders>
            <w:shd w:val="clear" w:color="000000" w:fill="DDDDDD"/>
            <w:hideMark/>
          </w:tcPr>
          <w:p w14:paraId="6BA3D4A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1 215</w:t>
            </w:r>
          </w:p>
        </w:tc>
        <w:tc>
          <w:tcPr>
            <w:tcW w:w="140" w:type="dxa"/>
            <w:tcBorders>
              <w:top w:val="nil"/>
              <w:left w:val="nil"/>
              <w:bottom w:val="single" w:sz="4" w:space="0" w:color="000000"/>
              <w:right w:val="single" w:sz="4" w:space="0" w:color="000000"/>
            </w:tcBorders>
            <w:shd w:val="clear" w:color="000000" w:fill="005500"/>
            <w:hideMark/>
          </w:tcPr>
          <w:p w14:paraId="07230EF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5A588904"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35B2333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TL21</w:t>
            </w:r>
          </w:p>
        </w:tc>
        <w:tc>
          <w:tcPr>
            <w:tcW w:w="841" w:type="dxa"/>
            <w:tcBorders>
              <w:top w:val="nil"/>
              <w:left w:val="nil"/>
              <w:bottom w:val="single" w:sz="4" w:space="0" w:color="000000"/>
              <w:right w:val="single" w:sz="4" w:space="0" w:color="000000"/>
            </w:tcBorders>
            <w:shd w:val="clear" w:color="auto" w:fill="auto"/>
            <w:hideMark/>
          </w:tcPr>
          <w:p w14:paraId="1062ED8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3E3FA1F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2A34A07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residential properties that are billed for refuse removal as at 30 June 2025</w:t>
            </w:r>
          </w:p>
        </w:tc>
        <w:tc>
          <w:tcPr>
            <w:tcW w:w="1048" w:type="dxa"/>
            <w:tcBorders>
              <w:top w:val="nil"/>
              <w:left w:val="nil"/>
              <w:bottom w:val="single" w:sz="4" w:space="0" w:color="000000"/>
              <w:right w:val="single" w:sz="4" w:space="0" w:color="000000"/>
            </w:tcBorders>
            <w:shd w:val="clear" w:color="auto" w:fill="auto"/>
            <w:hideMark/>
          </w:tcPr>
          <w:p w14:paraId="3FFC25F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residential properties that are billed for refuse removal residential tariffs using the erf as a property</w:t>
            </w:r>
          </w:p>
        </w:tc>
        <w:tc>
          <w:tcPr>
            <w:tcW w:w="1048" w:type="dxa"/>
            <w:tcBorders>
              <w:top w:val="nil"/>
              <w:left w:val="nil"/>
              <w:bottom w:val="single" w:sz="4" w:space="0" w:color="000000"/>
              <w:right w:val="single" w:sz="4" w:space="0" w:color="000000"/>
            </w:tcBorders>
            <w:shd w:val="clear" w:color="auto" w:fill="auto"/>
            <w:hideMark/>
          </w:tcPr>
          <w:p w14:paraId="4748FB1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55D5D8C7"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2 198</w:t>
            </w:r>
          </w:p>
        </w:tc>
        <w:tc>
          <w:tcPr>
            <w:tcW w:w="225" w:type="dxa"/>
            <w:tcBorders>
              <w:top w:val="nil"/>
              <w:left w:val="nil"/>
              <w:bottom w:val="single" w:sz="4" w:space="0" w:color="000000"/>
              <w:right w:val="single" w:sz="4" w:space="0" w:color="000000"/>
            </w:tcBorders>
            <w:shd w:val="clear" w:color="auto" w:fill="auto"/>
            <w:hideMark/>
          </w:tcPr>
          <w:p w14:paraId="07EA3D50"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2 198</w:t>
            </w:r>
          </w:p>
        </w:tc>
        <w:tc>
          <w:tcPr>
            <w:tcW w:w="257" w:type="dxa"/>
            <w:tcBorders>
              <w:top w:val="nil"/>
              <w:left w:val="nil"/>
              <w:bottom w:val="single" w:sz="4" w:space="0" w:color="000000"/>
              <w:right w:val="single" w:sz="4" w:space="0" w:color="000000"/>
            </w:tcBorders>
            <w:shd w:val="clear" w:color="auto" w:fill="auto"/>
            <w:hideMark/>
          </w:tcPr>
          <w:p w14:paraId="403ED292"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2 390</w:t>
            </w:r>
          </w:p>
        </w:tc>
        <w:tc>
          <w:tcPr>
            <w:tcW w:w="140" w:type="dxa"/>
            <w:tcBorders>
              <w:top w:val="nil"/>
              <w:left w:val="nil"/>
              <w:bottom w:val="single" w:sz="4" w:space="0" w:color="000000"/>
              <w:right w:val="single" w:sz="4" w:space="0" w:color="000000"/>
            </w:tcBorders>
            <w:shd w:val="clear" w:color="000000" w:fill="005500"/>
            <w:hideMark/>
          </w:tcPr>
          <w:p w14:paraId="452100D5"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1E29C46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4360287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5AFC310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2 198</w:t>
            </w:r>
          </w:p>
        </w:tc>
        <w:tc>
          <w:tcPr>
            <w:tcW w:w="225" w:type="dxa"/>
            <w:tcBorders>
              <w:top w:val="nil"/>
              <w:left w:val="nil"/>
              <w:bottom w:val="single" w:sz="4" w:space="0" w:color="000000"/>
              <w:right w:val="single" w:sz="4" w:space="0" w:color="000000"/>
            </w:tcBorders>
            <w:shd w:val="clear" w:color="000000" w:fill="DDDDDD"/>
            <w:hideMark/>
          </w:tcPr>
          <w:p w14:paraId="17F26377"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2 198</w:t>
            </w:r>
          </w:p>
        </w:tc>
        <w:tc>
          <w:tcPr>
            <w:tcW w:w="257" w:type="dxa"/>
            <w:tcBorders>
              <w:top w:val="nil"/>
              <w:left w:val="nil"/>
              <w:bottom w:val="single" w:sz="4" w:space="0" w:color="000000"/>
              <w:right w:val="single" w:sz="4" w:space="0" w:color="000000"/>
            </w:tcBorders>
            <w:shd w:val="clear" w:color="000000" w:fill="DDDDDD"/>
            <w:hideMark/>
          </w:tcPr>
          <w:p w14:paraId="48DE985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2 390</w:t>
            </w:r>
          </w:p>
        </w:tc>
        <w:tc>
          <w:tcPr>
            <w:tcW w:w="140" w:type="dxa"/>
            <w:tcBorders>
              <w:top w:val="nil"/>
              <w:left w:val="nil"/>
              <w:bottom w:val="single" w:sz="4" w:space="0" w:color="000000"/>
              <w:right w:val="single" w:sz="4" w:space="0" w:color="000000"/>
            </w:tcBorders>
            <w:shd w:val="clear" w:color="000000" w:fill="005500"/>
            <w:hideMark/>
          </w:tcPr>
          <w:p w14:paraId="1E87C9E1"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37D54545"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118D34D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TL22</w:t>
            </w:r>
          </w:p>
        </w:tc>
        <w:tc>
          <w:tcPr>
            <w:tcW w:w="841" w:type="dxa"/>
            <w:tcBorders>
              <w:top w:val="nil"/>
              <w:left w:val="nil"/>
              <w:bottom w:val="single" w:sz="4" w:space="0" w:color="000000"/>
              <w:right w:val="single" w:sz="4" w:space="0" w:color="000000"/>
            </w:tcBorders>
            <w:shd w:val="clear" w:color="auto" w:fill="auto"/>
            <w:hideMark/>
          </w:tcPr>
          <w:p w14:paraId="71312CD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069317C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540483D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residential properties which are billed for electricity or have pre-paid meters as at 30 June 2025</w:t>
            </w:r>
          </w:p>
        </w:tc>
        <w:tc>
          <w:tcPr>
            <w:tcW w:w="1048" w:type="dxa"/>
            <w:tcBorders>
              <w:top w:val="nil"/>
              <w:left w:val="nil"/>
              <w:bottom w:val="single" w:sz="4" w:space="0" w:color="000000"/>
              <w:right w:val="single" w:sz="4" w:space="0" w:color="000000"/>
            </w:tcBorders>
            <w:shd w:val="clear" w:color="auto" w:fill="auto"/>
            <w:hideMark/>
          </w:tcPr>
          <w:p w14:paraId="4C419DD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xml:space="preserve">Number of residential properties which are billed for electricity or have </w:t>
            </w:r>
            <w:proofErr w:type="spellStart"/>
            <w:r w:rsidRPr="001D53BD">
              <w:rPr>
                <w:rFonts w:ascii="Aptos Narrow" w:eastAsia="Times New Roman" w:hAnsi="Aptos Narrow" w:cs="Times New Roman"/>
                <w:color w:val="000000"/>
                <w:sz w:val="16"/>
                <w:szCs w:val="16"/>
                <w:lang w:eastAsia="en-ZA"/>
              </w:rPr>
              <w:t>pre paid</w:t>
            </w:r>
            <w:proofErr w:type="spellEnd"/>
            <w:r w:rsidRPr="001D53BD">
              <w:rPr>
                <w:rFonts w:ascii="Aptos Narrow" w:eastAsia="Times New Roman" w:hAnsi="Aptos Narrow" w:cs="Times New Roman"/>
                <w:color w:val="000000"/>
                <w:sz w:val="16"/>
                <w:szCs w:val="16"/>
                <w:lang w:eastAsia="en-ZA"/>
              </w:rPr>
              <w:t xml:space="preserve"> meters (Excluding Eskom areas)</w:t>
            </w:r>
          </w:p>
        </w:tc>
        <w:tc>
          <w:tcPr>
            <w:tcW w:w="1048" w:type="dxa"/>
            <w:tcBorders>
              <w:top w:val="nil"/>
              <w:left w:val="nil"/>
              <w:bottom w:val="single" w:sz="4" w:space="0" w:color="000000"/>
              <w:right w:val="single" w:sz="4" w:space="0" w:color="000000"/>
            </w:tcBorders>
            <w:shd w:val="clear" w:color="auto" w:fill="auto"/>
            <w:hideMark/>
          </w:tcPr>
          <w:p w14:paraId="0C508AA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08E340AC"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1 200</w:t>
            </w:r>
          </w:p>
        </w:tc>
        <w:tc>
          <w:tcPr>
            <w:tcW w:w="225" w:type="dxa"/>
            <w:tcBorders>
              <w:top w:val="nil"/>
              <w:left w:val="nil"/>
              <w:bottom w:val="single" w:sz="4" w:space="0" w:color="000000"/>
              <w:right w:val="single" w:sz="4" w:space="0" w:color="000000"/>
            </w:tcBorders>
            <w:shd w:val="clear" w:color="auto" w:fill="auto"/>
            <w:hideMark/>
          </w:tcPr>
          <w:p w14:paraId="1134B578"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1 200</w:t>
            </w:r>
          </w:p>
        </w:tc>
        <w:tc>
          <w:tcPr>
            <w:tcW w:w="257" w:type="dxa"/>
            <w:tcBorders>
              <w:top w:val="nil"/>
              <w:left w:val="nil"/>
              <w:bottom w:val="single" w:sz="4" w:space="0" w:color="000000"/>
              <w:right w:val="single" w:sz="4" w:space="0" w:color="000000"/>
            </w:tcBorders>
            <w:shd w:val="clear" w:color="auto" w:fill="auto"/>
            <w:hideMark/>
          </w:tcPr>
          <w:p w14:paraId="2E226BCD"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1 240</w:t>
            </w:r>
          </w:p>
        </w:tc>
        <w:tc>
          <w:tcPr>
            <w:tcW w:w="140" w:type="dxa"/>
            <w:tcBorders>
              <w:top w:val="nil"/>
              <w:left w:val="nil"/>
              <w:bottom w:val="single" w:sz="4" w:space="0" w:color="000000"/>
              <w:right w:val="single" w:sz="4" w:space="0" w:color="000000"/>
            </w:tcBorders>
            <w:shd w:val="clear" w:color="000000" w:fill="005500"/>
            <w:hideMark/>
          </w:tcPr>
          <w:p w14:paraId="798E5B94"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655C413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1F3FA06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66F9175C"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1 200</w:t>
            </w:r>
          </w:p>
        </w:tc>
        <w:tc>
          <w:tcPr>
            <w:tcW w:w="225" w:type="dxa"/>
            <w:tcBorders>
              <w:top w:val="nil"/>
              <w:left w:val="nil"/>
              <w:bottom w:val="single" w:sz="4" w:space="0" w:color="000000"/>
              <w:right w:val="single" w:sz="4" w:space="0" w:color="000000"/>
            </w:tcBorders>
            <w:shd w:val="clear" w:color="000000" w:fill="DDDDDD"/>
            <w:hideMark/>
          </w:tcPr>
          <w:p w14:paraId="7D020800"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1 200</w:t>
            </w:r>
          </w:p>
        </w:tc>
        <w:tc>
          <w:tcPr>
            <w:tcW w:w="257" w:type="dxa"/>
            <w:tcBorders>
              <w:top w:val="nil"/>
              <w:left w:val="nil"/>
              <w:bottom w:val="single" w:sz="4" w:space="0" w:color="000000"/>
              <w:right w:val="single" w:sz="4" w:space="0" w:color="000000"/>
            </w:tcBorders>
            <w:shd w:val="clear" w:color="000000" w:fill="DDDDDD"/>
            <w:hideMark/>
          </w:tcPr>
          <w:p w14:paraId="51F9D133"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1 240</w:t>
            </w:r>
          </w:p>
        </w:tc>
        <w:tc>
          <w:tcPr>
            <w:tcW w:w="140" w:type="dxa"/>
            <w:tcBorders>
              <w:top w:val="nil"/>
              <w:left w:val="nil"/>
              <w:bottom w:val="single" w:sz="4" w:space="0" w:color="000000"/>
              <w:right w:val="single" w:sz="4" w:space="0" w:color="000000"/>
            </w:tcBorders>
            <w:shd w:val="clear" w:color="000000" w:fill="005500"/>
            <w:hideMark/>
          </w:tcPr>
          <w:p w14:paraId="77DB6C4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36794F90"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0BCF368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TL23</w:t>
            </w:r>
          </w:p>
        </w:tc>
        <w:tc>
          <w:tcPr>
            <w:tcW w:w="841" w:type="dxa"/>
            <w:tcBorders>
              <w:top w:val="nil"/>
              <w:left w:val="nil"/>
              <w:bottom w:val="single" w:sz="4" w:space="0" w:color="000000"/>
              <w:right w:val="single" w:sz="4" w:space="0" w:color="000000"/>
            </w:tcBorders>
            <w:shd w:val="clear" w:color="auto" w:fill="auto"/>
            <w:hideMark/>
          </w:tcPr>
          <w:p w14:paraId="276B469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5980B4A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399F265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xml:space="preserve">Number of residential properties that which are billed for water or have </w:t>
            </w:r>
            <w:proofErr w:type="spellStart"/>
            <w:r w:rsidRPr="001D53BD">
              <w:rPr>
                <w:rFonts w:ascii="Aptos Narrow" w:eastAsia="Times New Roman" w:hAnsi="Aptos Narrow" w:cs="Times New Roman"/>
                <w:color w:val="000000"/>
                <w:sz w:val="16"/>
                <w:szCs w:val="16"/>
                <w:lang w:eastAsia="en-ZA"/>
              </w:rPr>
              <w:t>pre paid</w:t>
            </w:r>
            <w:proofErr w:type="spellEnd"/>
            <w:r w:rsidRPr="001D53BD">
              <w:rPr>
                <w:rFonts w:ascii="Aptos Narrow" w:eastAsia="Times New Roman" w:hAnsi="Aptos Narrow" w:cs="Times New Roman"/>
                <w:color w:val="000000"/>
                <w:sz w:val="16"/>
                <w:szCs w:val="16"/>
                <w:lang w:eastAsia="en-ZA"/>
              </w:rPr>
              <w:t xml:space="preserve"> meters that is connected to the municipal water infrastructure network as at 30 June 2025</w:t>
            </w:r>
          </w:p>
        </w:tc>
        <w:tc>
          <w:tcPr>
            <w:tcW w:w="1048" w:type="dxa"/>
            <w:tcBorders>
              <w:top w:val="nil"/>
              <w:left w:val="nil"/>
              <w:bottom w:val="single" w:sz="4" w:space="0" w:color="000000"/>
              <w:right w:val="single" w:sz="4" w:space="0" w:color="000000"/>
            </w:tcBorders>
            <w:shd w:val="clear" w:color="auto" w:fill="auto"/>
            <w:hideMark/>
          </w:tcPr>
          <w:p w14:paraId="298D950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xml:space="preserve">Number of residential properties which are billed for water or have </w:t>
            </w:r>
            <w:proofErr w:type="spellStart"/>
            <w:r w:rsidRPr="001D53BD">
              <w:rPr>
                <w:rFonts w:ascii="Aptos Narrow" w:eastAsia="Times New Roman" w:hAnsi="Aptos Narrow" w:cs="Times New Roman"/>
                <w:color w:val="000000"/>
                <w:sz w:val="16"/>
                <w:szCs w:val="16"/>
                <w:lang w:eastAsia="en-ZA"/>
              </w:rPr>
              <w:t>pre paid</w:t>
            </w:r>
            <w:proofErr w:type="spellEnd"/>
            <w:r w:rsidRPr="001D53BD">
              <w:rPr>
                <w:rFonts w:ascii="Aptos Narrow" w:eastAsia="Times New Roman" w:hAnsi="Aptos Narrow" w:cs="Times New Roman"/>
                <w:color w:val="000000"/>
                <w:sz w:val="16"/>
                <w:szCs w:val="16"/>
                <w:lang w:eastAsia="en-ZA"/>
              </w:rPr>
              <w:t xml:space="preserve"> meters</w:t>
            </w:r>
          </w:p>
        </w:tc>
        <w:tc>
          <w:tcPr>
            <w:tcW w:w="1048" w:type="dxa"/>
            <w:tcBorders>
              <w:top w:val="nil"/>
              <w:left w:val="nil"/>
              <w:bottom w:val="single" w:sz="4" w:space="0" w:color="000000"/>
              <w:right w:val="single" w:sz="4" w:space="0" w:color="000000"/>
            </w:tcBorders>
            <w:shd w:val="clear" w:color="auto" w:fill="auto"/>
            <w:hideMark/>
          </w:tcPr>
          <w:p w14:paraId="379A9F0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41D2E06D"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1 882</w:t>
            </w:r>
          </w:p>
        </w:tc>
        <w:tc>
          <w:tcPr>
            <w:tcW w:w="225" w:type="dxa"/>
            <w:tcBorders>
              <w:top w:val="nil"/>
              <w:left w:val="nil"/>
              <w:bottom w:val="single" w:sz="4" w:space="0" w:color="000000"/>
              <w:right w:val="single" w:sz="4" w:space="0" w:color="000000"/>
            </w:tcBorders>
            <w:shd w:val="clear" w:color="auto" w:fill="auto"/>
            <w:hideMark/>
          </w:tcPr>
          <w:p w14:paraId="51F88120"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1 882</w:t>
            </w:r>
          </w:p>
        </w:tc>
        <w:tc>
          <w:tcPr>
            <w:tcW w:w="257" w:type="dxa"/>
            <w:tcBorders>
              <w:top w:val="nil"/>
              <w:left w:val="nil"/>
              <w:bottom w:val="single" w:sz="4" w:space="0" w:color="000000"/>
              <w:right w:val="single" w:sz="4" w:space="0" w:color="000000"/>
            </w:tcBorders>
            <w:shd w:val="clear" w:color="auto" w:fill="auto"/>
            <w:hideMark/>
          </w:tcPr>
          <w:p w14:paraId="457E8610"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2 743</w:t>
            </w:r>
          </w:p>
        </w:tc>
        <w:tc>
          <w:tcPr>
            <w:tcW w:w="140" w:type="dxa"/>
            <w:tcBorders>
              <w:top w:val="nil"/>
              <w:left w:val="nil"/>
              <w:bottom w:val="single" w:sz="4" w:space="0" w:color="000000"/>
              <w:right w:val="single" w:sz="4" w:space="0" w:color="000000"/>
            </w:tcBorders>
            <w:shd w:val="clear" w:color="000000" w:fill="005500"/>
            <w:hideMark/>
          </w:tcPr>
          <w:p w14:paraId="21E9DAB2"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2377B21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41F6C9A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33A31490"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1 882</w:t>
            </w:r>
          </w:p>
        </w:tc>
        <w:tc>
          <w:tcPr>
            <w:tcW w:w="225" w:type="dxa"/>
            <w:tcBorders>
              <w:top w:val="nil"/>
              <w:left w:val="nil"/>
              <w:bottom w:val="single" w:sz="4" w:space="0" w:color="000000"/>
              <w:right w:val="single" w:sz="4" w:space="0" w:color="000000"/>
            </w:tcBorders>
            <w:shd w:val="clear" w:color="000000" w:fill="DDDDDD"/>
            <w:hideMark/>
          </w:tcPr>
          <w:p w14:paraId="1258ACAF"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1 882</w:t>
            </w:r>
          </w:p>
        </w:tc>
        <w:tc>
          <w:tcPr>
            <w:tcW w:w="257" w:type="dxa"/>
            <w:tcBorders>
              <w:top w:val="nil"/>
              <w:left w:val="nil"/>
              <w:bottom w:val="single" w:sz="4" w:space="0" w:color="000000"/>
              <w:right w:val="single" w:sz="4" w:space="0" w:color="000000"/>
            </w:tcBorders>
            <w:shd w:val="clear" w:color="000000" w:fill="DDDDDD"/>
            <w:hideMark/>
          </w:tcPr>
          <w:p w14:paraId="6EE57D47"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2 743</w:t>
            </w:r>
          </w:p>
        </w:tc>
        <w:tc>
          <w:tcPr>
            <w:tcW w:w="140" w:type="dxa"/>
            <w:tcBorders>
              <w:top w:val="nil"/>
              <w:left w:val="nil"/>
              <w:bottom w:val="single" w:sz="4" w:space="0" w:color="000000"/>
              <w:right w:val="single" w:sz="4" w:space="0" w:color="000000"/>
            </w:tcBorders>
            <w:shd w:val="clear" w:color="000000" w:fill="005500"/>
            <w:hideMark/>
          </w:tcPr>
          <w:p w14:paraId="75040679"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631E1316" w14:textId="77777777" w:rsidTr="008605E8">
        <w:trPr>
          <w:trHeight w:val="1728"/>
        </w:trPr>
        <w:tc>
          <w:tcPr>
            <w:tcW w:w="183" w:type="dxa"/>
            <w:tcBorders>
              <w:top w:val="nil"/>
              <w:left w:val="single" w:sz="4" w:space="0" w:color="000000"/>
              <w:bottom w:val="single" w:sz="4" w:space="0" w:color="000000"/>
              <w:right w:val="single" w:sz="4" w:space="0" w:color="000000"/>
            </w:tcBorders>
            <w:shd w:val="clear" w:color="auto" w:fill="auto"/>
            <w:hideMark/>
          </w:tcPr>
          <w:p w14:paraId="66EE07A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TL24</w:t>
            </w:r>
          </w:p>
        </w:tc>
        <w:tc>
          <w:tcPr>
            <w:tcW w:w="841" w:type="dxa"/>
            <w:tcBorders>
              <w:top w:val="nil"/>
              <w:left w:val="nil"/>
              <w:bottom w:val="single" w:sz="4" w:space="0" w:color="000000"/>
              <w:right w:val="single" w:sz="4" w:space="0" w:color="000000"/>
            </w:tcBorders>
            <w:shd w:val="clear" w:color="auto" w:fill="auto"/>
            <w:hideMark/>
          </w:tcPr>
          <w:p w14:paraId="54A952C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7EDABCA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2884D46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residential properties connected to the municipal waste water sanitation/sewerage network for sewerage service, irrespective of the number of water closets (toilets) which are billed for sewerage as at 30 June 2025</w:t>
            </w:r>
          </w:p>
        </w:tc>
        <w:tc>
          <w:tcPr>
            <w:tcW w:w="1048" w:type="dxa"/>
            <w:tcBorders>
              <w:top w:val="nil"/>
              <w:left w:val="nil"/>
              <w:bottom w:val="single" w:sz="4" w:space="0" w:color="000000"/>
              <w:right w:val="single" w:sz="4" w:space="0" w:color="000000"/>
            </w:tcBorders>
            <w:shd w:val="clear" w:color="auto" w:fill="auto"/>
            <w:hideMark/>
          </w:tcPr>
          <w:p w14:paraId="0AD6071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Number of residential properties which are billed for sewerage</w:t>
            </w:r>
          </w:p>
        </w:tc>
        <w:tc>
          <w:tcPr>
            <w:tcW w:w="1048" w:type="dxa"/>
            <w:tcBorders>
              <w:top w:val="nil"/>
              <w:left w:val="nil"/>
              <w:bottom w:val="single" w:sz="4" w:space="0" w:color="000000"/>
              <w:right w:val="single" w:sz="4" w:space="0" w:color="000000"/>
            </w:tcBorders>
            <w:shd w:val="clear" w:color="auto" w:fill="auto"/>
            <w:hideMark/>
          </w:tcPr>
          <w:p w14:paraId="4FDA6DE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09B7C08B"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2 383</w:t>
            </w:r>
          </w:p>
        </w:tc>
        <w:tc>
          <w:tcPr>
            <w:tcW w:w="225" w:type="dxa"/>
            <w:tcBorders>
              <w:top w:val="nil"/>
              <w:left w:val="nil"/>
              <w:bottom w:val="single" w:sz="4" w:space="0" w:color="000000"/>
              <w:right w:val="single" w:sz="4" w:space="0" w:color="000000"/>
            </w:tcBorders>
            <w:shd w:val="clear" w:color="auto" w:fill="auto"/>
            <w:hideMark/>
          </w:tcPr>
          <w:p w14:paraId="696244BF"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2 383</w:t>
            </w:r>
          </w:p>
        </w:tc>
        <w:tc>
          <w:tcPr>
            <w:tcW w:w="257" w:type="dxa"/>
            <w:tcBorders>
              <w:top w:val="nil"/>
              <w:left w:val="nil"/>
              <w:bottom w:val="single" w:sz="4" w:space="0" w:color="000000"/>
              <w:right w:val="single" w:sz="4" w:space="0" w:color="000000"/>
            </w:tcBorders>
            <w:shd w:val="clear" w:color="auto" w:fill="auto"/>
            <w:hideMark/>
          </w:tcPr>
          <w:p w14:paraId="79F452B0" w14:textId="77777777" w:rsidR="00C91F4B" w:rsidRPr="001D53BD" w:rsidRDefault="00C91F4B" w:rsidP="008605E8">
            <w:pPr>
              <w:spacing w:after="0" w:line="240" w:lineRule="auto"/>
              <w:jc w:val="right"/>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2 372</w:t>
            </w:r>
          </w:p>
        </w:tc>
        <w:tc>
          <w:tcPr>
            <w:tcW w:w="140" w:type="dxa"/>
            <w:tcBorders>
              <w:top w:val="nil"/>
              <w:left w:val="nil"/>
              <w:bottom w:val="single" w:sz="4" w:space="0" w:color="000000"/>
              <w:right w:val="single" w:sz="4" w:space="0" w:color="000000"/>
            </w:tcBorders>
            <w:shd w:val="clear" w:color="000000" w:fill="FE9900"/>
            <w:hideMark/>
          </w:tcPr>
          <w:p w14:paraId="2D151B15"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c>
          <w:tcPr>
            <w:tcW w:w="1048" w:type="dxa"/>
            <w:tcBorders>
              <w:top w:val="nil"/>
              <w:left w:val="nil"/>
              <w:bottom w:val="single" w:sz="4" w:space="0" w:color="000000"/>
              <w:right w:val="single" w:sz="4" w:space="0" w:color="000000"/>
            </w:tcBorders>
            <w:shd w:val="clear" w:color="auto" w:fill="auto"/>
            <w:hideMark/>
          </w:tcPr>
          <w:p w14:paraId="1DBCB2E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[D123] Manager: Budget and Treasury: No further connection are anticipated for financial year. (December 2024)</w:t>
            </w:r>
          </w:p>
        </w:tc>
        <w:tc>
          <w:tcPr>
            <w:tcW w:w="1048" w:type="dxa"/>
            <w:tcBorders>
              <w:top w:val="nil"/>
              <w:left w:val="nil"/>
              <w:bottom w:val="single" w:sz="4" w:space="0" w:color="000000"/>
              <w:right w:val="single" w:sz="4" w:space="0" w:color="000000"/>
            </w:tcBorders>
            <w:shd w:val="clear" w:color="auto" w:fill="auto"/>
            <w:hideMark/>
          </w:tcPr>
          <w:p w14:paraId="6B27D2D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[D123] Manager: Budget and Treasury: No further connection are anticipated for financial year. KPI to be updated (December 2024)</w:t>
            </w:r>
          </w:p>
        </w:tc>
        <w:tc>
          <w:tcPr>
            <w:tcW w:w="402" w:type="dxa"/>
            <w:tcBorders>
              <w:top w:val="nil"/>
              <w:left w:val="nil"/>
              <w:bottom w:val="single" w:sz="4" w:space="0" w:color="000000"/>
              <w:right w:val="single" w:sz="4" w:space="0" w:color="000000"/>
            </w:tcBorders>
            <w:shd w:val="clear" w:color="000000" w:fill="DDDDDD"/>
            <w:hideMark/>
          </w:tcPr>
          <w:p w14:paraId="71D10953"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2 383</w:t>
            </w:r>
          </w:p>
        </w:tc>
        <w:tc>
          <w:tcPr>
            <w:tcW w:w="225" w:type="dxa"/>
            <w:tcBorders>
              <w:top w:val="nil"/>
              <w:left w:val="nil"/>
              <w:bottom w:val="single" w:sz="4" w:space="0" w:color="000000"/>
              <w:right w:val="single" w:sz="4" w:space="0" w:color="000000"/>
            </w:tcBorders>
            <w:shd w:val="clear" w:color="000000" w:fill="DDDDDD"/>
            <w:hideMark/>
          </w:tcPr>
          <w:p w14:paraId="7B5FB966"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2 383</w:t>
            </w:r>
          </w:p>
        </w:tc>
        <w:tc>
          <w:tcPr>
            <w:tcW w:w="257" w:type="dxa"/>
            <w:tcBorders>
              <w:top w:val="nil"/>
              <w:left w:val="nil"/>
              <w:bottom w:val="single" w:sz="4" w:space="0" w:color="000000"/>
              <w:right w:val="single" w:sz="4" w:space="0" w:color="000000"/>
            </w:tcBorders>
            <w:shd w:val="clear" w:color="000000" w:fill="DDDDDD"/>
            <w:hideMark/>
          </w:tcPr>
          <w:p w14:paraId="22586ED3"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2 372</w:t>
            </w:r>
          </w:p>
        </w:tc>
        <w:tc>
          <w:tcPr>
            <w:tcW w:w="140" w:type="dxa"/>
            <w:tcBorders>
              <w:top w:val="nil"/>
              <w:left w:val="nil"/>
              <w:bottom w:val="single" w:sz="4" w:space="0" w:color="000000"/>
              <w:right w:val="single" w:sz="4" w:space="0" w:color="000000"/>
            </w:tcBorders>
            <w:shd w:val="clear" w:color="000000" w:fill="FE9900"/>
            <w:hideMark/>
          </w:tcPr>
          <w:p w14:paraId="35A0565E"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O</w:t>
            </w:r>
          </w:p>
        </w:tc>
      </w:tr>
      <w:tr w:rsidR="00C91F4B" w:rsidRPr="001D53BD" w14:paraId="24901606"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13CF230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TL28</w:t>
            </w:r>
          </w:p>
        </w:tc>
        <w:tc>
          <w:tcPr>
            <w:tcW w:w="841" w:type="dxa"/>
            <w:tcBorders>
              <w:top w:val="nil"/>
              <w:left w:val="nil"/>
              <w:bottom w:val="single" w:sz="4" w:space="0" w:color="000000"/>
              <w:right w:val="single" w:sz="4" w:space="0" w:color="000000"/>
            </w:tcBorders>
            <w:shd w:val="clear" w:color="auto" w:fill="auto"/>
            <w:hideMark/>
          </w:tcPr>
          <w:p w14:paraId="0C7EF2C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7D3450B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5B0A9FC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Limit unaccounted for electricity to less than 12% by 30 June 2025 {(Number of Electricity Units Purchased - Number of Electricity Units Sold) / Number of Electricity Units Purchased )x 100}</w:t>
            </w:r>
          </w:p>
        </w:tc>
        <w:tc>
          <w:tcPr>
            <w:tcW w:w="1048" w:type="dxa"/>
            <w:tcBorders>
              <w:top w:val="nil"/>
              <w:left w:val="nil"/>
              <w:bottom w:val="single" w:sz="4" w:space="0" w:color="000000"/>
              <w:right w:val="single" w:sz="4" w:space="0" w:color="000000"/>
            </w:tcBorders>
            <w:shd w:val="clear" w:color="auto" w:fill="auto"/>
            <w:hideMark/>
          </w:tcPr>
          <w:p w14:paraId="41A080D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unaccounted for electricity</w:t>
            </w:r>
          </w:p>
        </w:tc>
        <w:tc>
          <w:tcPr>
            <w:tcW w:w="1048" w:type="dxa"/>
            <w:tcBorders>
              <w:top w:val="nil"/>
              <w:left w:val="nil"/>
              <w:bottom w:val="single" w:sz="4" w:space="0" w:color="000000"/>
              <w:right w:val="single" w:sz="4" w:space="0" w:color="000000"/>
            </w:tcBorders>
            <w:shd w:val="clear" w:color="auto" w:fill="auto"/>
            <w:hideMark/>
          </w:tcPr>
          <w:p w14:paraId="457A9E8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0C1F86C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12.00%</w:t>
            </w:r>
          </w:p>
        </w:tc>
        <w:tc>
          <w:tcPr>
            <w:tcW w:w="225" w:type="dxa"/>
            <w:tcBorders>
              <w:top w:val="nil"/>
              <w:left w:val="nil"/>
              <w:bottom w:val="single" w:sz="4" w:space="0" w:color="000000"/>
              <w:right w:val="single" w:sz="4" w:space="0" w:color="000000"/>
            </w:tcBorders>
            <w:shd w:val="clear" w:color="auto" w:fill="auto"/>
            <w:hideMark/>
          </w:tcPr>
          <w:p w14:paraId="3081E71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12.00%</w:t>
            </w:r>
          </w:p>
        </w:tc>
        <w:tc>
          <w:tcPr>
            <w:tcW w:w="257" w:type="dxa"/>
            <w:tcBorders>
              <w:top w:val="nil"/>
              <w:left w:val="nil"/>
              <w:bottom w:val="single" w:sz="4" w:space="0" w:color="000000"/>
              <w:right w:val="single" w:sz="4" w:space="0" w:color="000000"/>
            </w:tcBorders>
            <w:shd w:val="clear" w:color="auto" w:fill="auto"/>
            <w:hideMark/>
          </w:tcPr>
          <w:p w14:paraId="028C428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59E17D66"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3A94A70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73D84A0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4B9DA964"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12.00%</w:t>
            </w:r>
          </w:p>
        </w:tc>
        <w:tc>
          <w:tcPr>
            <w:tcW w:w="225" w:type="dxa"/>
            <w:tcBorders>
              <w:top w:val="nil"/>
              <w:left w:val="nil"/>
              <w:bottom w:val="single" w:sz="4" w:space="0" w:color="000000"/>
              <w:right w:val="single" w:sz="4" w:space="0" w:color="000000"/>
            </w:tcBorders>
            <w:shd w:val="clear" w:color="000000" w:fill="DDDDDD"/>
            <w:hideMark/>
          </w:tcPr>
          <w:p w14:paraId="7A78450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12.00%</w:t>
            </w:r>
          </w:p>
        </w:tc>
        <w:tc>
          <w:tcPr>
            <w:tcW w:w="257" w:type="dxa"/>
            <w:tcBorders>
              <w:top w:val="nil"/>
              <w:left w:val="nil"/>
              <w:bottom w:val="single" w:sz="4" w:space="0" w:color="000000"/>
              <w:right w:val="single" w:sz="4" w:space="0" w:color="000000"/>
            </w:tcBorders>
            <w:shd w:val="clear" w:color="000000" w:fill="DDDDDD"/>
            <w:hideMark/>
          </w:tcPr>
          <w:p w14:paraId="72FE2138"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1A4D5A5B"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1E973C23"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46A9AA2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TL29</w:t>
            </w:r>
          </w:p>
        </w:tc>
        <w:tc>
          <w:tcPr>
            <w:tcW w:w="841" w:type="dxa"/>
            <w:tcBorders>
              <w:top w:val="nil"/>
              <w:left w:val="nil"/>
              <w:bottom w:val="single" w:sz="4" w:space="0" w:color="000000"/>
              <w:right w:val="single" w:sz="4" w:space="0" w:color="000000"/>
            </w:tcBorders>
            <w:shd w:val="clear" w:color="auto" w:fill="auto"/>
            <w:hideMark/>
          </w:tcPr>
          <w:p w14:paraId="75F1D9C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Chief Financial Officer</w:t>
            </w:r>
          </w:p>
        </w:tc>
        <w:tc>
          <w:tcPr>
            <w:tcW w:w="1048" w:type="dxa"/>
            <w:tcBorders>
              <w:top w:val="nil"/>
              <w:left w:val="nil"/>
              <w:bottom w:val="single" w:sz="4" w:space="0" w:color="000000"/>
              <w:right w:val="single" w:sz="4" w:space="0" w:color="000000"/>
            </w:tcBorders>
            <w:shd w:val="clear" w:color="auto" w:fill="auto"/>
            <w:hideMark/>
          </w:tcPr>
          <w:p w14:paraId="5A3BD2C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Financial Services</w:t>
            </w:r>
          </w:p>
        </w:tc>
        <w:tc>
          <w:tcPr>
            <w:tcW w:w="1048" w:type="dxa"/>
            <w:tcBorders>
              <w:top w:val="nil"/>
              <w:left w:val="nil"/>
              <w:bottom w:val="single" w:sz="4" w:space="0" w:color="000000"/>
              <w:right w:val="single" w:sz="4" w:space="0" w:color="000000"/>
            </w:tcBorders>
            <w:shd w:val="clear" w:color="auto" w:fill="auto"/>
            <w:hideMark/>
          </w:tcPr>
          <w:p w14:paraId="4411D3F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Limit unaccounted for water to less than 15% by 30 June 2025 {(Number of Kilolitres Water Purchased or Purified - Number of Kilolitres Water Sold) / Number of Kilolitres Water Purchased or Purified x 100}</w:t>
            </w:r>
          </w:p>
        </w:tc>
        <w:tc>
          <w:tcPr>
            <w:tcW w:w="1048" w:type="dxa"/>
            <w:tcBorders>
              <w:top w:val="nil"/>
              <w:left w:val="nil"/>
              <w:bottom w:val="single" w:sz="4" w:space="0" w:color="000000"/>
              <w:right w:val="single" w:sz="4" w:space="0" w:color="000000"/>
            </w:tcBorders>
            <w:shd w:val="clear" w:color="auto" w:fill="auto"/>
            <w:hideMark/>
          </w:tcPr>
          <w:p w14:paraId="7AFD82F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unaccounted for water</w:t>
            </w:r>
          </w:p>
        </w:tc>
        <w:tc>
          <w:tcPr>
            <w:tcW w:w="1048" w:type="dxa"/>
            <w:tcBorders>
              <w:top w:val="nil"/>
              <w:left w:val="nil"/>
              <w:bottom w:val="single" w:sz="4" w:space="0" w:color="000000"/>
              <w:right w:val="single" w:sz="4" w:space="0" w:color="000000"/>
            </w:tcBorders>
            <w:shd w:val="clear" w:color="auto" w:fill="auto"/>
            <w:hideMark/>
          </w:tcPr>
          <w:p w14:paraId="6A97496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48E8BDE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15.00%</w:t>
            </w:r>
          </w:p>
        </w:tc>
        <w:tc>
          <w:tcPr>
            <w:tcW w:w="225" w:type="dxa"/>
            <w:tcBorders>
              <w:top w:val="nil"/>
              <w:left w:val="nil"/>
              <w:bottom w:val="single" w:sz="4" w:space="0" w:color="000000"/>
              <w:right w:val="single" w:sz="4" w:space="0" w:color="000000"/>
            </w:tcBorders>
            <w:shd w:val="clear" w:color="auto" w:fill="auto"/>
            <w:hideMark/>
          </w:tcPr>
          <w:p w14:paraId="23C92E1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15.00%</w:t>
            </w:r>
          </w:p>
        </w:tc>
        <w:tc>
          <w:tcPr>
            <w:tcW w:w="257" w:type="dxa"/>
            <w:tcBorders>
              <w:top w:val="nil"/>
              <w:left w:val="nil"/>
              <w:bottom w:val="single" w:sz="4" w:space="0" w:color="000000"/>
              <w:right w:val="single" w:sz="4" w:space="0" w:color="000000"/>
            </w:tcBorders>
            <w:shd w:val="clear" w:color="auto" w:fill="auto"/>
            <w:hideMark/>
          </w:tcPr>
          <w:p w14:paraId="77F9070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278FBB57"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5012AEC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77C7EEA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4C1B0E6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15.00%</w:t>
            </w:r>
          </w:p>
        </w:tc>
        <w:tc>
          <w:tcPr>
            <w:tcW w:w="225" w:type="dxa"/>
            <w:tcBorders>
              <w:top w:val="nil"/>
              <w:left w:val="nil"/>
              <w:bottom w:val="single" w:sz="4" w:space="0" w:color="000000"/>
              <w:right w:val="single" w:sz="4" w:space="0" w:color="000000"/>
            </w:tcBorders>
            <w:shd w:val="clear" w:color="000000" w:fill="DDDDDD"/>
            <w:hideMark/>
          </w:tcPr>
          <w:p w14:paraId="45054763"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15.00%</w:t>
            </w:r>
          </w:p>
        </w:tc>
        <w:tc>
          <w:tcPr>
            <w:tcW w:w="257" w:type="dxa"/>
            <w:tcBorders>
              <w:top w:val="nil"/>
              <w:left w:val="nil"/>
              <w:bottom w:val="single" w:sz="4" w:space="0" w:color="000000"/>
              <w:right w:val="single" w:sz="4" w:space="0" w:color="000000"/>
            </w:tcBorders>
            <w:shd w:val="clear" w:color="000000" w:fill="DDDDDD"/>
            <w:hideMark/>
          </w:tcPr>
          <w:p w14:paraId="769067F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1CF282F9"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70897D9A"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2AEACE9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TL30</w:t>
            </w:r>
          </w:p>
        </w:tc>
        <w:tc>
          <w:tcPr>
            <w:tcW w:w="841" w:type="dxa"/>
            <w:tcBorders>
              <w:top w:val="nil"/>
              <w:left w:val="nil"/>
              <w:bottom w:val="single" w:sz="4" w:space="0" w:color="000000"/>
              <w:right w:val="single" w:sz="4" w:space="0" w:color="000000"/>
            </w:tcBorders>
            <w:shd w:val="clear" w:color="auto" w:fill="auto"/>
            <w:hideMark/>
          </w:tcPr>
          <w:p w14:paraId="0D04B32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0859A46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7204D6F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95% of water samples comply with SANS 241 microbiological indicators on a quarterly basis</w:t>
            </w:r>
          </w:p>
        </w:tc>
        <w:tc>
          <w:tcPr>
            <w:tcW w:w="1048" w:type="dxa"/>
            <w:tcBorders>
              <w:top w:val="nil"/>
              <w:left w:val="nil"/>
              <w:bottom w:val="single" w:sz="4" w:space="0" w:color="000000"/>
              <w:right w:val="single" w:sz="4" w:space="0" w:color="000000"/>
            </w:tcBorders>
            <w:shd w:val="clear" w:color="auto" w:fill="auto"/>
            <w:hideMark/>
          </w:tcPr>
          <w:p w14:paraId="3EB7898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compliance of samples tested</w:t>
            </w:r>
          </w:p>
        </w:tc>
        <w:tc>
          <w:tcPr>
            <w:tcW w:w="1048" w:type="dxa"/>
            <w:tcBorders>
              <w:top w:val="nil"/>
              <w:left w:val="nil"/>
              <w:bottom w:val="single" w:sz="4" w:space="0" w:color="000000"/>
              <w:right w:val="single" w:sz="4" w:space="0" w:color="000000"/>
            </w:tcBorders>
            <w:shd w:val="clear" w:color="auto" w:fill="auto"/>
            <w:hideMark/>
          </w:tcPr>
          <w:p w14:paraId="2223410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3D828C9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95.00%</w:t>
            </w:r>
          </w:p>
        </w:tc>
        <w:tc>
          <w:tcPr>
            <w:tcW w:w="225" w:type="dxa"/>
            <w:tcBorders>
              <w:top w:val="nil"/>
              <w:left w:val="nil"/>
              <w:bottom w:val="single" w:sz="4" w:space="0" w:color="000000"/>
              <w:right w:val="single" w:sz="4" w:space="0" w:color="000000"/>
            </w:tcBorders>
            <w:shd w:val="clear" w:color="auto" w:fill="auto"/>
            <w:hideMark/>
          </w:tcPr>
          <w:p w14:paraId="5458A85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95.00%</w:t>
            </w:r>
          </w:p>
        </w:tc>
        <w:tc>
          <w:tcPr>
            <w:tcW w:w="257" w:type="dxa"/>
            <w:tcBorders>
              <w:top w:val="nil"/>
              <w:left w:val="nil"/>
              <w:bottom w:val="single" w:sz="4" w:space="0" w:color="000000"/>
              <w:right w:val="single" w:sz="4" w:space="0" w:color="000000"/>
            </w:tcBorders>
            <w:shd w:val="clear" w:color="auto" w:fill="auto"/>
            <w:hideMark/>
          </w:tcPr>
          <w:p w14:paraId="683FEF5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100.00%</w:t>
            </w:r>
          </w:p>
        </w:tc>
        <w:tc>
          <w:tcPr>
            <w:tcW w:w="140" w:type="dxa"/>
            <w:tcBorders>
              <w:top w:val="nil"/>
              <w:left w:val="nil"/>
              <w:bottom w:val="single" w:sz="4" w:space="0" w:color="000000"/>
              <w:right w:val="single" w:sz="4" w:space="0" w:color="000000"/>
            </w:tcBorders>
            <w:shd w:val="clear" w:color="000000" w:fill="005500"/>
            <w:hideMark/>
          </w:tcPr>
          <w:p w14:paraId="77CEE574"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57457A1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1F69B46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35398F8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95.00%</w:t>
            </w:r>
          </w:p>
        </w:tc>
        <w:tc>
          <w:tcPr>
            <w:tcW w:w="225" w:type="dxa"/>
            <w:tcBorders>
              <w:top w:val="nil"/>
              <w:left w:val="nil"/>
              <w:bottom w:val="single" w:sz="4" w:space="0" w:color="000000"/>
              <w:right w:val="single" w:sz="4" w:space="0" w:color="000000"/>
            </w:tcBorders>
            <w:shd w:val="clear" w:color="000000" w:fill="DDDDDD"/>
            <w:hideMark/>
          </w:tcPr>
          <w:p w14:paraId="7C451BC4"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95.00%</w:t>
            </w:r>
          </w:p>
        </w:tc>
        <w:tc>
          <w:tcPr>
            <w:tcW w:w="257" w:type="dxa"/>
            <w:tcBorders>
              <w:top w:val="nil"/>
              <w:left w:val="nil"/>
              <w:bottom w:val="single" w:sz="4" w:space="0" w:color="000000"/>
              <w:right w:val="single" w:sz="4" w:space="0" w:color="000000"/>
            </w:tcBorders>
            <w:shd w:val="clear" w:color="000000" w:fill="DDDDDD"/>
            <w:hideMark/>
          </w:tcPr>
          <w:p w14:paraId="02471E9A"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100.00%</w:t>
            </w:r>
          </w:p>
        </w:tc>
        <w:tc>
          <w:tcPr>
            <w:tcW w:w="140" w:type="dxa"/>
            <w:tcBorders>
              <w:top w:val="nil"/>
              <w:left w:val="nil"/>
              <w:bottom w:val="single" w:sz="4" w:space="0" w:color="000000"/>
              <w:right w:val="single" w:sz="4" w:space="0" w:color="000000"/>
            </w:tcBorders>
            <w:shd w:val="clear" w:color="000000" w:fill="005500"/>
            <w:hideMark/>
          </w:tcPr>
          <w:p w14:paraId="7D6D98BD"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68D7E305"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65A45FE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TL31</w:t>
            </w:r>
          </w:p>
        </w:tc>
        <w:tc>
          <w:tcPr>
            <w:tcW w:w="841" w:type="dxa"/>
            <w:tcBorders>
              <w:top w:val="nil"/>
              <w:left w:val="nil"/>
              <w:bottom w:val="single" w:sz="4" w:space="0" w:color="000000"/>
              <w:right w:val="single" w:sz="4" w:space="0" w:color="000000"/>
            </w:tcBorders>
            <w:shd w:val="clear" w:color="auto" w:fill="auto"/>
            <w:hideMark/>
          </w:tcPr>
          <w:p w14:paraId="6E00DEF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32776C3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2A7F982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Spend 100% of the MIG grant allocation by 30 June 2025 [(Actual expenditure/total grant allocation received) x 100]</w:t>
            </w:r>
          </w:p>
        </w:tc>
        <w:tc>
          <w:tcPr>
            <w:tcW w:w="1048" w:type="dxa"/>
            <w:tcBorders>
              <w:top w:val="nil"/>
              <w:left w:val="nil"/>
              <w:bottom w:val="single" w:sz="4" w:space="0" w:color="000000"/>
              <w:right w:val="single" w:sz="4" w:space="0" w:color="000000"/>
            </w:tcBorders>
            <w:shd w:val="clear" w:color="auto" w:fill="auto"/>
            <w:hideMark/>
          </w:tcPr>
          <w:p w14:paraId="7BFCFB0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MIG grant spend</w:t>
            </w:r>
          </w:p>
        </w:tc>
        <w:tc>
          <w:tcPr>
            <w:tcW w:w="1048" w:type="dxa"/>
            <w:tcBorders>
              <w:top w:val="nil"/>
              <w:left w:val="nil"/>
              <w:bottom w:val="single" w:sz="4" w:space="0" w:color="000000"/>
              <w:right w:val="single" w:sz="4" w:space="0" w:color="000000"/>
            </w:tcBorders>
            <w:shd w:val="clear" w:color="auto" w:fill="auto"/>
            <w:hideMark/>
          </w:tcPr>
          <w:p w14:paraId="3336A30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5219A7B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3D435B8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5C1B8AF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27AFB4D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1AB8BCE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[D154] Director: Technical Services: No funds received yet (October 2024)</w:t>
            </w:r>
            <w:r w:rsidRPr="001D53BD">
              <w:rPr>
                <w:rFonts w:ascii="Aptos Narrow" w:eastAsia="Times New Roman" w:hAnsi="Aptos Narrow" w:cs="Times New Roman"/>
                <w:color w:val="000000"/>
                <w:sz w:val="16"/>
                <w:szCs w:val="16"/>
                <w:lang w:eastAsia="en-ZA"/>
              </w:rPr>
              <w:br/>
              <w:t>[D154] Director: Technical Services: Project only to be start 20 January 2025 (December 2024)</w:t>
            </w:r>
          </w:p>
        </w:tc>
        <w:tc>
          <w:tcPr>
            <w:tcW w:w="1048" w:type="dxa"/>
            <w:tcBorders>
              <w:top w:val="nil"/>
              <w:left w:val="nil"/>
              <w:bottom w:val="single" w:sz="4" w:space="0" w:color="000000"/>
              <w:right w:val="single" w:sz="4" w:space="0" w:color="000000"/>
            </w:tcBorders>
            <w:shd w:val="clear" w:color="auto" w:fill="auto"/>
            <w:hideMark/>
          </w:tcPr>
          <w:p w14:paraId="3C32960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[D154] Director: Technical Services: At March 2025 60 % spending (December 2024)</w:t>
            </w:r>
          </w:p>
        </w:tc>
        <w:tc>
          <w:tcPr>
            <w:tcW w:w="402" w:type="dxa"/>
            <w:tcBorders>
              <w:top w:val="nil"/>
              <w:left w:val="nil"/>
              <w:bottom w:val="single" w:sz="4" w:space="0" w:color="000000"/>
              <w:right w:val="single" w:sz="4" w:space="0" w:color="000000"/>
            </w:tcBorders>
            <w:shd w:val="clear" w:color="000000" w:fill="DDDDDD"/>
            <w:hideMark/>
          </w:tcPr>
          <w:p w14:paraId="7BB223F1"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7C19C47E"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0393FE01"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5F8412F3"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06381162" w14:textId="77777777" w:rsidTr="008605E8">
        <w:trPr>
          <w:trHeight w:val="864"/>
        </w:trPr>
        <w:tc>
          <w:tcPr>
            <w:tcW w:w="183" w:type="dxa"/>
            <w:tcBorders>
              <w:top w:val="nil"/>
              <w:left w:val="single" w:sz="4" w:space="0" w:color="000000"/>
              <w:bottom w:val="single" w:sz="4" w:space="0" w:color="000000"/>
              <w:right w:val="single" w:sz="4" w:space="0" w:color="000000"/>
            </w:tcBorders>
            <w:shd w:val="clear" w:color="auto" w:fill="auto"/>
            <w:hideMark/>
          </w:tcPr>
          <w:p w14:paraId="3D2D227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TL32</w:t>
            </w:r>
          </w:p>
        </w:tc>
        <w:tc>
          <w:tcPr>
            <w:tcW w:w="841" w:type="dxa"/>
            <w:tcBorders>
              <w:top w:val="nil"/>
              <w:left w:val="nil"/>
              <w:bottom w:val="single" w:sz="4" w:space="0" w:color="000000"/>
              <w:right w:val="single" w:sz="4" w:space="0" w:color="000000"/>
            </w:tcBorders>
            <w:shd w:val="clear" w:color="auto" w:fill="auto"/>
            <w:hideMark/>
          </w:tcPr>
          <w:p w14:paraId="0790EFE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5E511AC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687C5F2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Spend 100% on the WSIG grant allocation by 30 June 2025 [(Actual expenditure/total grant allocation received) x 100]</w:t>
            </w:r>
          </w:p>
        </w:tc>
        <w:tc>
          <w:tcPr>
            <w:tcW w:w="1048" w:type="dxa"/>
            <w:tcBorders>
              <w:top w:val="nil"/>
              <w:left w:val="nil"/>
              <w:bottom w:val="single" w:sz="4" w:space="0" w:color="000000"/>
              <w:right w:val="single" w:sz="4" w:space="0" w:color="000000"/>
            </w:tcBorders>
            <w:shd w:val="clear" w:color="auto" w:fill="auto"/>
            <w:hideMark/>
          </w:tcPr>
          <w:p w14:paraId="065AB9A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WSIG grant spend</w:t>
            </w:r>
          </w:p>
        </w:tc>
        <w:tc>
          <w:tcPr>
            <w:tcW w:w="1048" w:type="dxa"/>
            <w:tcBorders>
              <w:top w:val="nil"/>
              <w:left w:val="nil"/>
              <w:bottom w:val="single" w:sz="4" w:space="0" w:color="000000"/>
              <w:right w:val="single" w:sz="4" w:space="0" w:color="000000"/>
            </w:tcBorders>
            <w:shd w:val="clear" w:color="auto" w:fill="auto"/>
            <w:hideMark/>
          </w:tcPr>
          <w:p w14:paraId="6191F44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3754CD6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4B5926E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3635A1F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43.89%</w:t>
            </w:r>
          </w:p>
        </w:tc>
        <w:tc>
          <w:tcPr>
            <w:tcW w:w="140" w:type="dxa"/>
            <w:tcBorders>
              <w:top w:val="nil"/>
              <w:left w:val="nil"/>
              <w:bottom w:val="single" w:sz="4" w:space="0" w:color="000000"/>
              <w:right w:val="single" w:sz="4" w:space="0" w:color="000000"/>
            </w:tcBorders>
            <w:shd w:val="clear" w:color="000000" w:fill="005500"/>
            <w:hideMark/>
          </w:tcPr>
          <w:p w14:paraId="42934FDB"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286B573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38FD4D2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68854374"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5B79B020"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6666A68C"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43.89%</w:t>
            </w:r>
          </w:p>
        </w:tc>
        <w:tc>
          <w:tcPr>
            <w:tcW w:w="140" w:type="dxa"/>
            <w:tcBorders>
              <w:top w:val="nil"/>
              <w:left w:val="nil"/>
              <w:bottom w:val="single" w:sz="4" w:space="0" w:color="000000"/>
              <w:right w:val="single" w:sz="4" w:space="0" w:color="000000"/>
            </w:tcBorders>
            <w:shd w:val="clear" w:color="000000" w:fill="005500"/>
            <w:hideMark/>
          </w:tcPr>
          <w:p w14:paraId="0B102A6B"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r w:rsidR="00C91F4B" w:rsidRPr="001D53BD" w14:paraId="70F8A35E" w14:textId="77777777" w:rsidTr="008605E8">
        <w:trPr>
          <w:trHeight w:val="1728"/>
        </w:trPr>
        <w:tc>
          <w:tcPr>
            <w:tcW w:w="183" w:type="dxa"/>
            <w:tcBorders>
              <w:top w:val="nil"/>
              <w:left w:val="single" w:sz="4" w:space="0" w:color="000000"/>
              <w:bottom w:val="single" w:sz="4" w:space="0" w:color="000000"/>
              <w:right w:val="single" w:sz="4" w:space="0" w:color="000000"/>
            </w:tcBorders>
            <w:shd w:val="clear" w:color="auto" w:fill="auto"/>
            <w:hideMark/>
          </w:tcPr>
          <w:p w14:paraId="2FFF8D2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TL33</w:t>
            </w:r>
          </w:p>
        </w:tc>
        <w:tc>
          <w:tcPr>
            <w:tcW w:w="841" w:type="dxa"/>
            <w:tcBorders>
              <w:top w:val="nil"/>
              <w:left w:val="nil"/>
              <w:bottom w:val="single" w:sz="4" w:space="0" w:color="000000"/>
              <w:right w:val="single" w:sz="4" w:space="0" w:color="000000"/>
            </w:tcBorders>
            <w:shd w:val="clear" w:color="auto" w:fill="auto"/>
            <w:hideMark/>
          </w:tcPr>
          <w:p w14:paraId="79D705F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490D4ED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1E96743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Spend 95% of the capital budget for Williston WWTW by 30 June 2025[(Actual amount spent on projects /Total amount budgeted for capital projects)X100]</w:t>
            </w:r>
          </w:p>
        </w:tc>
        <w:tc>
          <w:tcPr>
            <w:tcW w:w="1048" w:type="dxa"/>
            <w:tcBorders>
              <w:top w:val="nil"/>
              <w:left w:val="nil"/>
              <w:bottom w:val="single" w:sz="4" w:space="0" w:color="000000"/>
              <w:right w:val="single" w:sz="4" w:space="0" w:color="000000"/>
            </w:tcBorders>
            <w:shd w:val="clear" w:color="auto" w:fill="auto"/>
            <w:hideMark/>
          </w:tcPr>
          <w:p w14:paraId="0CF5EB61"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budget spent</w:t>
            </w:r>
          </w:p>
        </w:tc>
        <w:tc>
          <w:tcPr>
            <w:tcW w:w="1048" w:type="dxa"/>
            <w:tcBorders>
              <w:top w:val="nil"/>
              <w:left w:val="nil"/>
              <w:bottom w:val="single" w:sz="4" w:space="0" w:color="000000"/>
              <w:right w:val="single" w:sz="4" w:space="0" w:color="000000"/>
            </w:tcBorders>
            <w:shd w:val="clear" w:color="auto" w:fill="auto"/>
            <w:hideMark/>
          </w:tcPr>
          <w:p w14:paraId="5153A9F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11ABB495"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033B81C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1CEEC4B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0EFCE837"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176540A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[D156] Director: Technical Services: No funds received yet (October 2024)</w:t>
            </w:r>
            <w:r w:rsidRPr="001D53BD">
              <w:rPr>
                <w:rFonts w:ascii="Aptos Narrow" w:eastAsia="Times New Roman" w:hAnsi="Aptos Narrow" w:cs="Times New Roman"/>
                <w:color w:val="000000"/>
                <w:sz w:val="16"/>
                <w:szCs w:val="16"/>
                <w:lang w:eastAsia="en-ZA"/>
              </w:rPr>
              <w:br/>
              <w:t>[D156] Director: Technical Services: project will start on 15 January 2025 Spending will be 60% in March 2025 (December 2024)</w:t>
            </w:r>
          </w:p>
        </w:tc>
        <w:tc>
          <w:tcPr>
            <w:tcW w:w="1048" w:type="dxa"/>
            <w:tcBorders>
              <w:top w:val="nil"/>
              <w:left w:val="nil"/>
              <w:bottom w:val="single" w:sz="4" w:space="0" w:color="000000"/>
              <w:right w:val="single" w:sz="4" w:space="0" w:color="000000"/>
            </w:tcBorders>
            <w:shd w:val="clear" w:color="auto" w:fill="auto"/>
            <w:hideMark/>
          </w:tcPr>
          <w:p w14:paraId="226E02C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[D156] Director: Technical Services: 60% to be spend by March 2025 (December 2024)</w:t>
            </w:r>
          </w:p>
        </w:tc>
        <w:tc>
          <w:tcPr>
            <w:tcW w:w="402" w:type="dxa"/>
            <w:tcBorders>
              <w:top w:val="nil"/>
              <w:left w:val="nil"/>
              <w:bottom w:val="single" w:sz="4" w:space="0" w:color="000000"/>
              <w:right w:val="single" w:sz="4" w:space="0" w:color="000000"/>
            </w:tcBorders>
            <w:shd w:val="clear" w:color="000000" w:fill="DDDDDD"/>
            <w:hideMark/>
          </w:tcPr>
          <w:p w14:paraId="716CC03D"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7417D659"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51870DA4"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0.00%</w:t>
            </w:r>
          </w:p>
        </w:tc>
        <w:tc>
          <w:tcPr>
            <w:tcW w:w="140" w:type="dxa"/>
            <w:tcBorders>
              <w:top w:val="nil"/>
              <w:left w:val="nil"/>
              <w:bottom w:val="single" w:sz="4" w:space="0" w:color="000000"/>
              <w:right w:val="single" w:sz="4" w:space="0" w:color="000000"/>
            </w:tcBorders>
            <w:shd w:val="clear" w:color="000000" w:fill="CC0001"/>
            <w:hideMark/>
          </w:tcPr>
          <w:p w14:paraId="4523296A"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279FC1B8"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0DA0418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TL34</w:t>
            </w:r>
          </w:p>
        </w:tc>
        <w:tc>
          <w:tcPr>
            <w:tcW w:w="841" w:type="dxa"/>
            <w:tcBorders>
              <w:top w:val="nil"/>
              <w:left w:val="nil"/>
              <w:bottom w:val="single" w:sz="4" w:space="0" w:color="000000"/>
              <w:right w:val="single" w:sz="4" w:space="0" w:color="000000"/>
            </w:tcBorders>
            <w:shd w:val="clear" w:color="auto" w:fill="auto"/>
            <w:hideMark/>
          </w:tcPr>
          <w:p w14:paraId="57FE1BE0"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4A803FAF"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3517F836"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xml:space="preserve">Spend 95% of the capital budget for the upgrade of the internal network in </w:t>
            </w:r>
            <w:proofErr w:type="spellStart"/>
            <w:r w:rsidRPr="001D53BD">
              <w:rPr>
                <w:rFonts w:ascii="Aptos Narrow" w:eastAsia="Times New Roman" w:hAnsi="Aptos Narrow" w:cs="Times New Roman"/>
                <w:color w:val="000000"/>
                <w:sz w:val="16"/>
                <w:szCs w:val="16"/>
                <w:lang w:eastAsia="en-ZA"/>
              </w:rPr>
              <w:t>Frasenburg</w:t>
            </w:r>
            <w:proofErr w:type="spellEnd"/>
            <w:r w:rsidRPr="001D53BD">
              <w:rPr>
                <w:rFonts w:ascii="Aptos Narrow" w:eastAsia="Times New Roman" w:hAnsi="Aptos Narrow" w:cs="Times New Roman"/>
                <w:color w:val="000000"/>
                <w:sz w:val="16"/>
                <w:szCs w:val="16"/>
                <w:lang w:eastAsia="en-ZA"/>
              </w:rPr>
              <w:t xml:space="preserve"> (INEP) by 30 June 2025[(Actual amount spent on projects /Total amount budgeted for capital projects)X100]</w:t>
            </w:r>
          </w:p>
        </w:tc>
        <w:tc>
          <w:tcPr>
            <w:tcW w:w="1048" w:type="dxa"/>
            <w:tcBorders>
              <w:top w:val="nil"/>
              <w:left w:val="nil"/>
              <w:bottom w:val="single" w:sz="4" w:space="0" w:color="000000"/>
              <w:right w:val="single" w:sz="4" w:space="0" w:color="000000"/>
            </w:tcBorders>
            <w:shd w:val="clear" w:color="auto" w:fill="auto"/>
            <w:hideMark/>
          </w:tcPr>
          <w:p w14:paraId="739A0F13"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budget spent</w:t>
            </w:r>
          </w:p>
        </w:tc>
        <w:tc>
          <w:tcPr>
            <w:tcW w:w="1048" w:type="dxa"/>
            <w:tcBorders>
              <w:top w:val="nil"/>
              <w:left w:val="nil"/>
              <w:bottom w:val="single" w:sz="4" w:space="0" w:color="000000"/>
              <w:right w:val="single" w:sz="4" w:space="0" w:color="000000"/>
            </w:tcBorders>
            <w:shd w:val="clear" w:color="auto" w:fill="auto"/>
            <w:hideMark/>
          </w:tcPr>
          <w:p w14:paraId="7841357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78AD609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2E60320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3B6C7CB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7.00%</w:t>
            </w:r>
          </w:p>
        </w:tc>
        <w:tc>
          <w:tcPr>
            <w:tcW w:w="140" w:type="dxa"/>
            <w:tcBorders>
              <w:top w:val="nil"/>
              <w:left w:val="nil"/>
              <w:bottom w:val="single" w:sz="4" w:space="0" w:color="000000"/>
              <w:right w:val="single" w:sz="4" w:space="0" w:color="000000"/>
            </w:tcBorders>
            <w:shd w:val="clear" w:color="000000" w:fill="CC0001"/>
            <w:hideMark/>
          </w:tcPr>
          <w:p w14:paraId="4BF9D645"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c>
          <w:tcPr>
            <w:tcW w:w="1048" w:type="dxa"/>
            <w:tcBorders>
              <w:top w:val="nil"/>
              <w:left w:val="nil"/>
              <w:bottom w:val="single" w:sz="4" w:space="0" w:color="000000"/>
              <w:right w:val="single" w:sz="4" w:space="0" w:color="000000"/>
            </w:tcBorders>
            <w:shd w:val="clear" w:color="auto" w:fill="auto"/>
            <w:hideMark/>
          </w:tcPr>
          <w:p w14:paraId="4A9DE1B8"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[D157] Director: Technical Services: project will only start on 17 January 2025 (December 2024)</w:t>
            </w:r>
          </w:p>
        </w:tc>
        <w:tc>
          <w:tcPr>
            <w:tcW w:w="1048" w:type="dxa"/>
            <w:tcBorders>
              <w:top w:val="nil"/>
              <w:left w:val="nil"/>
              <w:bottom w:val="single" w:sz="4" w:space="0" w:color="000000"/>
              <w:right w:val="single" w:sz="4" w:space="0" w:color="000000"/>
            </w:tcBorders>
            <w:shd w:val="clear" w:color="auto" w:fill="auto"/>
            <w:hideMark/>
          </w:tcPr>
          <w:p w14:paraId="25E922B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[D157] Director: Technical Services: 60%to be spend by March 2025 (December 2024)</w:t>
            </w:r>
          </w:p>
        </w:tc>
        <w:tc>
          <w:tcPr>
            <w:tcW w:w="402" w:type="dxa"/>
            <w:tcBorders>
              <w:top w:val="nil"/>
              <w:left w:val="nil"/>
              <w:bottom w:val="single" w:sz="4" w:space="0" w:color="000000"/>
              <w:right w:val="single" w:sz="4" w:space="0" w:color="000000"/>
            </w:tcBorders>
            <w:shd w:val="clear" w:color="000000" w:fill="DDDDDD"/>
            <w:hideMark/>
          </w:tcPr>
          <w:p w14:paraId="7BE59C45"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32A90272"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18CFA12A"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7.00%</w:t>
            </w:r>
          </w:p>
        </w:tc>
        <w:tc>
          <w:tcPr>
            <w:tcW w:w="140" w:type="dxa"/>
            <w:tcBorders>
              <w:top w:val="nil"/>
              <w:left w:val="nil"/>
              <w:bottom w:val="single" w:sz="4" w:space="0" w:color="000000"/>
              <w:right w:val="single" w:sz="4" w:space="0" w:color="000000"/>
            </w:tcBorders>
            <w:shd w:val="clear" w:color="000000" w:fill="CC0001"/>
            <w:hideMark/>
          </w:tcPr>
          <w:p w14:paraId="70668240"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R</w:t>
            </w:r>
          </w:p>
        </w:tc>
      </w:tr>
      <w:tr w:rsidR="00C91F4B" w:rsidRPr="001D53BD" w14:paraId="1989F343" w14:textId="77777777" w:rsidTr="008605E8">
        <w:trPr>
          <w:trHeight w:val="1440"/>
        </w:trPr>
        <w:tc>
          <w:tcPr>
            <w:tcW w:w="183" w:type="dxa"/>
            <w:tcBorders>
              <w:top w:val="nil"/>
              <w:left w:val="single" w:sz="4" w:space="0" w:color="000000"/>
              <w:bottom w:val="single" w:sz="4" w:space="0" w:color="000000"/>
              <w:right w:val="single" w:sz="4" w:space="0" w:color="000000"/>
            </w:tcBorders>
            <w:shd w:val="clear" w:color="auto" w:fill="auto"/>
            <w:hideMark/>
          </w:tcPr>
          <w:p w14:paraId="36D77C0C"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TL35</w:t>
            </w:r>
          </w:p>
        </w:tc>
        <w:tc>
          <w:tcPr>
            <w:tcW w:w="841" w:type="dxa"/>
            <w:tcBorders>
              <w:top w:val="nil"/>
              <w:left w:val="nil"/>
              <w:bottom w:val="single" w:sz="4" w:space="0" w:color="000000"/>
              <w:right w:val="single" w:sz="4" w:space="0" w:color="000000"/>
            </w:tcBorders>
            <w:shd w:val="clear" w:color="auto" w:fill="auto"/>
            <w:hideMark/>
          </w:tcPr>
          <w:p w14:paraId="03BEA7C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Director: Technical Services</w:t>
            </w:r>
          </w:p>
        </w:tc>
        <w:tc>
          <w:tcPr>
            <w:tcW w:w="1048" w:type="dxa"/>
            <w:tcBorders>
              <w:top w:val="nil"/>
              <w:left w:val="nil"/>
              <w:bottom w:val="single" w:sz="4" w:space="0" w:color="000000"/>
              <w:right w:val="single" w:sz="4" w:space="0" w:color="000000"/>
            </w:tcBorders>
            <w:shd w:val="clear" w:color="auto" w:fill="auto"/>
            <w:hideMark/>
          </w:tcPr>
          <w:p w14:paraId="4437922D"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Technical Services</w:t>
            </w:r>
          </w:p>
        </w:tc>
        <w:tc>
          <w:tcPr>
            <w:tcW w:w="1048" w:type="dxa"/>
            <w:tcBorders>
              <w:top w:val="nil"/>
              <w:left w:val="nil"/>
              <w:bottom w:val="single" w:sz="4" w:space="0" w:color="000000"/>
              <w:right w:val="single" w:sz="4" w:space="0" w:color="000000"/>
            </w:tcBorders>
            <w:shd w:val="clear" w:color="auto" w:fill="auto"/>
            <w:hideMark/>
          </w:tcPr>
          <w:p w14:paraId="22EF9F1E"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Spend 95% of the capital budget for the upgrade of bulk water Sutherland (WSIG)by 30 June 2025[(Actual amount spent on projects /Total amount budgeted for capital projects)X100]</w:t>
            </w:r>
          </w:p>
        </w:tc>
        <w:tc>
          <w:tcPr>
            <w:tcW w:w="1048" w:type="dxa"/>
            <w:tcBorders>
              <w:top w:val="nil"/>
              <w:left w:val="nil"/>
              <w:bottom w:val="single" w:sz="4" w:space="0" w:color="000000"/>
              <w:right w:val="single" w:sz="4" w:space="0" w:color="000000"/>
            </w:tcBorders>
            <w:shd w:val="clear" w:color="auto" w:fill="auto"/>
            <w:hideMark/>
          </w:tcPr>
          <w:p w14:paraId="5DB80269"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of budget spent</w:t>
            </w:r>
          </w:p>
        </w:tc>
        <w:tc>
          <w:tcPr>
            <w:tcW w:w="1048" w:type="dxa"/>
            <w:tcBorders>
              <w:top w:val="nil"/>
              <w:left w:val="nil"/>
              <w:bottom w:val="single" w:sz="4" w:space="0" w:color="000000"/>
              <w:right w:val="single" w:sz="4" w:space="0" w:color="000000"/>
            </w:tcBorders>
            <w:shd w:val="clear" w:color="auto" w:fill="auto"/>
            <w:hideMark/>
          </w:tcPr>
          <w:p w14:paraId="77415F0B"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Provide quality living human settlements with basic infrastructure for all residents</w:t>
            </w:r>
          </w:p>
        </w:tc>
        <w:tc>
          <w:tcPr>
            <w:tcW w:w="402" w:type="dxa"/>
            <w:tcBorders>
              <w:top w:val="nil"/>
              <w:left w:val="nil"/>
              <w:bottom w:val="single" w:sz="4" w:space="0" w:color="000000"/>
              <w:right w:val="single" w:sz="4" w:space="0" w:color="000000"/>
            </w:tcBorders>
            <w:shd w:val="clear" w:color="auto" w:fill="auto"/>
            <w:hideMark/>
          </w:tcPr>
          <w:p w14:paraId="21E80E3A"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25" w:type="dxa"/>
            <w:tcBorders>
              <w:top w:val="nil"/>
              <w:left w:val="nil"/>
              <w:bottom w:val="single" w:sz="4" w:space="0" w:color="000000"/>
              <w:right w:val="single" w:sz="4" w:space="0" w:color="000000"/>
            </w:tcBorders>
            <w:shd w:val="clear" w:color="auto" w:fill="auto"/>
            <w:hideMark/>
          </w:tcPr>
          <w:p w14:paraId="5E7689D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40.00%</w:t>
            </w:r>
          </w:p>
        </w:tc>
        <w:tc>
          <w:tcPr>
            <w:tcW w:w="257" w:type="dxa"/>
            <w:tcBorders>
              <w:top w:val="nil"/>
              <w:left w:val="nil"/>
              <w:bottom w:val="single" w:sz="4" w:space="0" w:color="000000"/>
              <w:right w:val="single" w:sz="4" w:space="0" w:color="000000"/>
            </w:tcBorders>
            <w:shd w:val="clear" w:color="auto" w:fill="auto"/>
            <w:hideMark/>
          </w:tcPr>
          <w:p w14:paraId="04928427"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43.89%</w:t>
            </w:r>
          </w:p>
        </w:tc>
        <w:tc>
          <w:tcPr>
            <w:tcW w:w="140" w:type="dxa"/>
            <w:tcBorders>
              <w:top w:val="nil"/>
              <w:left w:val="nil"/>
              <w:bottom w:val="single" w:sz="4" w:space="0" w:color="000000"/>
              <w:right w:val="single" w:sz="4" w:space="0" w:color="000000"/>
            </w:tcBorders>
            <w:shd w:val="clear" w:color="000000" w:fill="005500"/>
            <w:hideMark/>
          </w:tcPr>
          <w:p w14:paraId="03E4827F"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c>
          <w:tcPr>
            <w:tcW w:w="1048" w:type="dxa"/>
            <w:tcBorders>
              <w:top w:val="nil"/>
              <w:left w:val="nil"/>
              <w:bottom w:val="single" w:sz="4" w:space="0" w:color="000000"/>
              <w:right w:val="single" w:sz="4" w:space="0" w:color="000000"/>
            </w:tcBorders>
            <w:shd w:val="clear" w:color="auto" w:fill="auto"/>
            <w:hideMark/>
          </w:tcPr>
          <w:p w14:paraId="706EE9B2"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1048" w:type="dxa"/>
            <w:tcBorders>
              <w:top w:val="nil"/>
              <w:left w:val="nil"/>
              <w:bottom w:val="single" w:sz="4" w:space="0" w:color="000000"/>
              <w:right w:val="single" w:sz="4" w:space="0" w:color="000000"/>
            </w:tcBorders>
            <w:shd w:val="clear" w:color="auto" w:fill="auto"/>
            <w:hideMark/>
          </w:tcPr>
          <w:p w14:paraId="6A084E44" w14:textId="77777777" w:rsidR="00C91F4B" w:rsidRPr="001D53BD" w:rsidRDefault="00C91F4B" w:rsidP="008605E8">
            <w:pPr>
              <w:spacing w:after="0" w:line="240" w:lineRule="auto"/>
              <w:rPr>
                <w:rFonts w:ascii="Aptos Narrow" w:eastAsia="Times New Roman" w:hAnsi="Aptos Narrow" w:cs="Times New Roman"/>
                <w:color w:val="000000"/>
                <w:sz w:val="16"/>
                <w:szCs w:val="16"/>
                <w:lang w:eastAsia="en-ZA"/>
              </w:rPr>
            </w:pPr>
            <w:r w:rsidRPr="001D53BD">
              <w:rPr>
                <w:rFonts w:ascii="Aptos Narrow" w:eastAsia="Times New Roman" w:hAnsi="Aptos Narrow" w:cs="Times New Roman"/>
                <w:color w:val="000000"/>
                <w:sz w:val="16"/>
                <w:szCs w:val="16"/>
                <w:lang w:eastAsia="en-ZA"/>
              </w:rPr>
              <w:t> </w:t>
            </w:r>
          </w:p>
        </w:tc>
        <w:tc>
          <w:tcPr>
            <w:tcW w:w="402" w:type="dxa"/>
            <w:tcBorders>
              <w:top w:val="nil"/>
              <w:left w:val="nil"/>
              <w:bottom w:val="single" w:sz="4" w:space="0" w:color="000000"/>
              <w:right w:val="single" w:sz="4" w:space="0" w:color="000000"/>
            </w:tcBorders>
            <w:shd w:val="clear" w:color="000000" w:fill="DDDDDD"/>
            <w:hideMark/>
          </w:tcPr>
          <w:p w14:paraId="5BAF899A"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25" w:type="dxa"/>
            <w:tcBorders>
              <w:top w:val="nil"/>
              <w:left w:val="nil"/>
              <w:bottom w:val="single" w:sz="4" w:space="0" w:color="000000"/>
              <w:right w:val="single" w:sz="4" w:space="0" w:color="000000"/>
            </w:tcBorders>
            <w:shd w:val="clear" w:color="000000" w:fill="DDDDDD"/>
            <w:hideMark/>
          </w:tcPr>
          <w:p w14:paraId="783EBF4B"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40.00%</w:t>
            </w:r>
          </w:p>
        </w:tc>
        <w:tc>
          <w:tcPr>
            <w:tcW w:w="257" w:type="dxa"/>
            <w:tcBorders>
              <w:top w:val="nil"/>
              <w:left w:val="nil"/>
              <w:bottom w:val="single" w:sz="4" w:space="0" w:color="000000"/>
              <w:right w:val="single" w:sz="4" w:space="0" w:color="000000"/>
            </w:tcBorders>
            <w:shd w:val="clear" w:color="000000" w:fill="DDDDDD"/>
            <w:hideMark/>
          </w:tcPr>
          <w:p w14:paraId="1A3DA519" w14:textId="77777777" w:rsidR="00C91F4B" w:rsidRPr="001D53BD" w:rsidRDefault="00C91F4B" w:rsidP="008605E8">
            <w:pPr>
              <w:spacing w:after="0" w:line="240" w:lineRule="auto"/>
              <w:jc w:val="right"/>
              <w:rPr>
                <w:rFonts w:ascii="Aptos Narrow" w:eastAsia="Times New Roman" w:hAnsi="Aptos Narrow" w:cs="Times New Roman"/>
                <w:b/>
                <w:bCs/>
                <w:color w:val="000000"/>
                <w:sz w:val="16"/>
                <w:szCs w:val="16"/>
                <w:lang w:eastAsia="en-ZA"/>
              </w:rPr>
            </w:pPr>
            <w:r w:rsidRPr="001D53BD">
              <w:rPr>
                <w:rFonts w:ascii="Aptos Narrow" w:eastAsia="Times New Roman" w:hAnsi="Aptos Narrow" w:cs="Times New Roman"/>
                <w:b/>
                <w:bCs/>
                <w:color w:val="000000"/>
                <w:sz w:val="16"/>
                <w:szCs w:val="16"/>
                <w:lang w:eastAsia="en-ZA"/>
              </w:rPr>
              <w:t>43.89%</w:t>
            </w:r>
          </w:p>
        </w:tc>
        <w:tc>
          <w:tcPr>
            <w:tcW w:w="140" w:type="dxa"/>
            <w:tcBorders>
              <w:top w:val="nil"/>
              <w:left w:val="nil"/>
              <w:bottom w:val="single" w:sz="4" w:space="0" w:color="000000"/>
              <w:right w:val="single" w:sz="4" w:space="0" w:color="000000"/>
            </w:tcBorders>
            <w:shd w:val="clear" w:color="000000" w:fill="005500"/>
            <w:hideMark/>
          </w:tcPr>
          <w:p w14:paraId="49F36581" w14:textId="77777777" w:rsidR="00C91F4B" w:rsidRPr="001D53BD" w:rsidRDefault="00C91F4B" w:rsidP="008605E8">
            <w:pPr>
              <w:spacing w:after="0" w:line="240" w:lineRule="auto"/>
              <w:jc w:val="center"/>
              <w:rPr>
                <w:rFonts w:ascii="Aptos Narrow" w:eastAsia="Times New Roman" w:hAnsi="Aptos Narrow" w:cs="Times New Roman"/>
                <w:color w:val="FFFFFF"/>
                <w:sz w:val="16"/>
                <w:szCs w:val="16"/>
                <w:lang w:eastAsia="en-ZA"/>
              </w:rPr>
            </w:pPr>
            <w:r w:rsidRPr="001D53BD">
              <w:rPr>
                <w:rFonts w:ascii="Aptos Narrow" w:eastAsia="Times New Roman" w:hAnsi="Aptos Narrow" w:cs="Times New Roman"/>
                <w:color w:val="FFFFFF"/>
                <w:sz w:val="16"/>
                <w:szCs w:val="16"/>
                <w:lang w:eastAsia="en-ZA"/>
              </w:rPr>
              <w:t>G2</w:t>
            </w:r>
          </w:p>
        </w:tc>
      </w:tr>
    </w:tbl>
    <w:p w14:paraId="5508EC43" w14:textId="7809A25D" w:rsidR="00741880" w:rsidRDefault="00741880" w:rsidP="00591643">
      <w:pPr>
        <w:ind w:left="-993" w:firstLine="142"/>
        <w:rPr>
          <w:rFonts w:ascii="Arial" w:hAnsi="Arial" w:cs="Arial"/>
          <w:b/>
          <w:sz w:val="36"/>
          <w:szCs w:val="26"/>
        </w:rPr>
      </w:pPr>
    </w:p>
    <w:p w14:paraId="4026460D" w14:textId="16AC14E8" w:rsidR="00A6464A" w:rsidRDefault="00A6464A" w:rsidP="00873BA0">
      <w:pPr>
        <w:rPr>
          <w:rFonts w:ascii="Arial" w:hAnsi="Arial" w:cs="Arial"/>
          <w:b/>
          <w:sz w:val="36"/>
          <w:szCs w:val="26"/>
        </w:rPr>
      </w:pPr>
    </w:p>
    <w:p w14:paraId="05E4101F" w14:textId="26F7F47B" w:rsidR="00EC4EED" w:rsidRDefault="00C50606" w:rsidP="00873BA0">
      <w:pPr>
        <w:rPr>
          <w:rFonts w:ascii="Arial" w:hAnsi="Arial" w:cs="Arial"/>
          <w:b/>
          <w:sz w:val="36"/>
          <w:szCs w:val="26"/>
        </w:rPr>
      </w:pPr>
      <w:r>
        <w:rPr>
          <w:rFonts w:ascii="Arial" w:hAnsi="Arial" w:cs="Arial"/>
          <w:b/>
          <w:noProof/>
          <w:sz w:val="36"/>
          <w:szCs w:val="26"/>
        </w:rPr>
        <w:drawing>
          <wp:inline distT="0" distB="0" distL="0" distR="0" wp14:anchorId="5404FA12" wp14:editId="51578E39">
            <wp:extent cx="9345295" cy="5296535"/>
            <wp:effectExtent l="0" t="0" r="8255" b="0"/>
            <wp:docPr id="93251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5295" cy="5296535"/>
                    </a:xfrm>
                    <a:prstGeom prst="rect">
                      <a:avLst/>
                    </a:prstGeom>
                    <a:noFill/>
                  </pic:spPr>
                </pic:pic>
              </a:graphicData>
            </a:graphic>
          </wp:inline>
        </w:drawing>
      </w:r>
    </w:p>
    <w:sectPr w:rsidR="00EC4EED" w:rsidSect="00EC4EED">
      <w:headerReference w:type="default" r:id="rId13"/>
      <w:pgSz w:w="16838" w:h="11906" w:orient="landscape" w:code="9"/>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2D6DE" w14:textId="77777777" w:rsidR="00551B71" w:rsidRDefault="00551B71" w:rsidP="00C140EA">
      <w:pPr>
        <w:spacing w:after="0" w:line="240" w:lineRule="auto"/>
      </w:pPr>
      <w:r>
        <w:separator/>
      </w:r>
    </w:p>
  </w:endnote>
  <w:endnote w:type="continuationSeparator" w:id="0">
    <w:p w14:paraId="0D91EC5C" w14:textId="77777777" w:rsidR="00551B71" w:rsidRDefault="00551B71" w:rsidP="00C14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ique Olive Compac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G Omega">
    <w:altName w:val="Candara"/>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B3A3" w14:textId="506BAE7A" w:rsidR="00747A23" w:rsidRDefault="00747A23">
    <w:pPr>
      <w:pStyle w:val="Footer"/>
      <w:jc w:val="center"/>
    </w:pPr>
    <w:r>
      <w:t xml:space="preserve">KHM SECTION 52 REPORT  </w:t>
    </w:r>
    <w:r w:rsidR="005A30DF">
      <w:t>Q</w:t>
    </w:r>
    <w:r w:rsidR="008C2710">
      <w:t>2</w:t>
    </w:r>
    <w:r>
      <w:t xml:space="preserve">  202</w:t>
    </w:r>
    <w:r w:rsidR="00EC4EED">
      <w:t>4</w:t>
    </w:r>
    <w:r>
      <w:t>/202</w:t>
    </w:r>
    <w:r w:rsidR="00EC4EED">
      <w:t>5</w:t>
    </w:r>
    <w:r>
      <w:t xml:space="preserve"> -  PG.</w:t>
    </w:r>
    <w:sdt>
      <w:sdtPr>
        <w:id w:val="4146777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7152D">
          <w:rPr>
            <w:noProof/>
          </w:rPr>
          <w:t>1</w:t>
        </w:r>
        <w:r>
          <w:rPr>
            <w:noProof/>
          </w:rPr>
          <w:fldChar w:fldCharType="end"/>
        </w:r>
      </w:sdtContent>
    </w:sdt>
  </w:p>
  <w:p w14:paraId="02BB4C09" w14:textId="77777777" w:rsidR="00747A23" w:rsidRDefault="00747A23" w:rsidP="007B1CC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525F" w14:textId="0CAFDE8F" w:rsidR="00747A23" w:rsidRDefault="00747A23">
    <w:pPr>
      <w:pStyle w:val="Footer"/>
      <w:jc w:val="center"/>
    </w:pPr>
    <w:r>
      <w:t>KHM SECTION 52 ASSESSMENT REPORT  Q</w:t>
    </w:r>
    <w:r w:rsidR="008B4BEC">
      <w:t>2</w:t>
    </w:r>
    <w:r>
      <w:t xml:space="preserve"> 202</w:t>
    </w:r>
    <w:r w:rsidR="00EC4EED">
      <w:t>4</w:t>
    </w:r>
    <w:r>
      <w:t>/202</w:t>
    </w:r>
    <w:r w:rsidR="00EC4EED">
      <w:t>5</w:t>
    </w:r>
    <w:r>
      <w:t xml:space="preserve">  -  PG.</w:t>
    </w:r>
    <w:sdt>
      <w:sdtPr>
        <w:id w:val="-20095816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C0EEE">
          <w:rPr>
            <w:noProof/>
          </w:rPr>
          <w:t>25</w:t>
        </w:r>
        <w:r>
          <w:rPr>
            <w:noProof/>
          </w:rPr>
          <w:fldChar w:fldCharType="end"/>
        </w:r>
      </w:sdtContent>
    </w:sdt>
  </w:p>
  <w:p w14:paraId="3EC3F52E" w14:textId="77777777" w:rsidR="00747A23" w:rsidRDefault="00747A23" w:rsidP="007B1C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2CA8" w14:textId="77777777" w:rsidR="00551B71" w:rsidRDefault="00551B71" w:rsidP="00C140EA">
      <w:pPr>
        <w:spacing w:after="0" w:line="240" w:lineRule="auto"/>
      </w:pPr>
      <w:r>
        <w:separator/>
      </w:r>
    </w:p>
  </w:footnote>
  <w:footnote w:type="continuationSeparator" w:id="0">
    <w:p w14:paraId="5D3A86E8" w14:textId="77777777" w:rsidR="00551B71" w:rsidRDefault="00551B71" w:rsidP="00C14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1D6A" w14:textId="77777777" w:rsidR="005D6525" w:rsidRDefault="005D6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F6E"/>
    <w:multiLevelType w:val="hybridMultilevel"/>
    <w:tmpl w:val="C854FCBA"/>
    <w:lvl w:ilvl="0" w:tplc="CF627502">
      <w:start w:val="1"/>
      <w:numFmt w:val="bullet"/>
      <w:lvlText w:val="o"/>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CE2851"/>
    <w:multiLevelType w:val="hybridMultilevel"/>
    <w:tmpl w:val="E68AEB42"/>
    <w:lvl w:ilvl="0" w:tplc="1C090009">
      <w:start w:val="1"/>
      <w:numFmt w:val="bullet"/>
      <w:lvlText w:val=""/>
      <w:lvlJc w:val="left"/>
      <w:pPr>
        <w:ind w:left="2593" w:hanging="360"/>
      </w:pPr>
      <w:rPr>
        <w:rFonts w:ascii="Wingdings" w:hAnsi="Wingdings" w:hint="default"/>
      </w:rPr>
    </w:lvl>
    <w:lvl w:ilvl="1" w:tplc="1C090003" w:tentative="1">
      <w:start w:val="1"/>
      <w:numFmt w:val="bullet"/>
      <w:lvlText w:val="o"/>
      <w:lvlJc w:val="left"/>
      <w:pPr>
        <w:ind w:left="3313" w:hanging="360"/>
      </w:pPr>
      <w:rPr>
        <w:rFonts w:ascii="Courier New" w:hAnsi="Courier New" w:cs="Courier New" w:hint="default"/>
      </w:rPr>
    </w:lvl>
    <w:lvl w:ilvl="2" w:tplc="1C090005" w:tentative="1">
      <w:start w:val="1"/>
      <w:numFmt w:val="bullet"/>
      <w:lvlText w:val=""/>
      <w:lvlJc w:val="left"/>
      <w:pPr>
        <w:ind w:left="4033" w:hanging="360"/>
      </w:pPr>
      <w:rPr>
        <w:rFonts w:ascii="Wingdings" w:hAnsi="Wingdings" w:hint="default"/>
      </w:rPr>
    </w:lvl>
    <w:lvl w:ilvl="3" w:tplc="1C090001" w:tentative="1">
      <w:start w:val="1"/>
      <w:numFmt w:val="bullet"/>
      <w:lvlText w:val=""/>
      <w:lvlJc w:val="left"/>
      <w:pPr>
        <w:ind w:left="4753" w:hanging="360"/>
      </w:pPr>
      <w:rPr>
        <w:rFonts w:ascii="Symbol" w:hAnsi="Symbol" w:hint="default"/>
      </w:rPr>
    </w:lvl>
    <w:lvl w:ilvl="4" w:tplc="1C090003" w:tentative="1">
      <w:start w:val="1"/>
      <w:numFmt w:val="bullet"/>
      <w:lvlText w:val="o"/>
      <w:lvlJc w:val="left"/>
      <w:pPr>
        <w:ind w:left="5473" w:hanging="360"/>
      </w:pPr>
      <w:rPr>
        <w:rFonts w:ascii="Courier New" w:hAnsi="Courier New" w:cs="Courier New" w:hint="default"/>
      </w:rPr>
    </w:lvl>
    <w:lvl w:ilvl="5" w:tplc="1C090005" w:tentative="1">
      <w:start w:val="1"/>
      <w:numFmt w:val="bullet"/>
      <w:lvlText w:val=""/>
      <w:lvlJc w:val="left"/>
      <w:pPr>
        <w:ind w:left="6193" w:hanging="360"/>
      </w:pPr>
      <w:rPr>
        <w:rFonts w:ascii="Wingdings" w:hAnsi="Wingdings" w:hint="default"/>
      </w:rPr>
    </w:lvl>
    <w:lvl w:ilvl="6" w:tplc="1C090001" w:tentative="1">
      <w:start w:val="1"/>
      <w:numFmt w:val="bullet"/>
      <w:lvlText w:val=""/>
      <w:lvlJc w:val="left"/>
      <w:pPr>
        <w:ind w:left="6913" w:hanging="360"/>
      </w:pPr>
      <w:rPr>
        <w:rFonts w:ascii="Symbol" w:hAnsi="Symbol" w:hint="default"/>
      </w:rPr>
    </w:lvl>
    <w:lvl w:ilvl="7" w:tplc="1C090003" w:tentative="1">
      <w:start w:val="1"/>
      <w:numFmt w:val="bullet"/>
      <w:lvlText w:val="o"/>
      <w:lvlJc w:val="left"/>
      <w:pPr>
        <w:ind w:left="7633" w:hanging="360"/>
      </w:pPr>
      <w:rPr>
        <w:rFonts w:ascii="Courier New" w:hAnsi="Courier New" w:cs="Courier New" w:hint="default"/>
      </w:rPr>
    </w:lvl>
    <w:lvl w:ilvl="8" w:tplc="1C090005" w:tentative="1">
      <w:start w:val="1"/>
      <w:numFmt w:val="bullet"/>
      <w:lvlText w:val=""/>
      <w:lvlJc w:val="left"/>
      <w:pPr>
        <w:ind w:left="8353" w:hanging="360"/>
      </w:pPr>
      <w:rPr>
        <w:rFonts w:ascii="Wingdings" w:hAnsi="Wingdings" w:hint="default"/>
      </w:rPr>
    </w:lvl>
  </w:abstractNum>
  <w:abstractNum w:abstractNumId="2" w15:restartNumberingAfterBreak="0">
    <w:nsid w:val="06B910A1"/>
    <w:multiLevelType w:val="hybridMultilevel"/>
    <w:tmpl w:val="DFE63EB4"/>
    <w:lvl w:ilvl="0" w:tplc="D88AD170">
      <w:start w:val="1"/>
      <w:numFmt w:val="lowerRoman"/>
      <w:lvlText w:val="%1."/>
      <w:lvlJc w:val="left"/>
      <w:pPr>
        <w:ind w:left="720" w:hanging="360"/>
      </w:pPr>
      <w:rPr>
        <w:rFonts w:hint="default"/>
      </w:rPr>
    </w:lvl>
    <w:lvl w:ilvl="1" w:tplc="ED4E4EF2">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C275F75"/>
    <w:multiLevelType w:val="hybridMultilevel"/>
    <w:tmpl w:val="85DE3298"/>
    <w:lvl w:ilvl="0" w:tplc="1C090001">
      <w:start w:val="1"/>
      <w:numFmt w:val="bullet"/>
      <w:lvlText w:val=""/>
      <w:lvlJc w:val="left"/>
      <w:pPr>
        <w:ind w:left="1423" w:hanging="360"/>
      </w:pPr>
      <w:rPr>
        <w:rFonts w:ascii="Symbol" w:hAnsi="Symbol" w:hint="default"/>
      </w:rPr>
    </w:lvl>
    <w:lvl w:ilvl="1" w:tplc="1C090003" w:tentative="1">
      <w:start w:val="1"/>
      <w:numFmt w:val="bullet"/>
      <w:lvlText w:val="o"/>
      <w:lvlJc w:val="left"/>
      <w:pPr>
        <w:ind w:left="2143" w:hanging="360"/>
      </w:pPr>
      <w:rPr>
        <w:rFonts w:ascii="Courier New" w:hAnsi="Courier New" w:cs="Courier New" w:hint="default"/>
      </w:rPr>
    </w:lvl>
    <w:lvl w:ilvl="2" w:tplc="1C090005" w:tentative="1">
      <w:start w:val="1"/>
      <w:numFmt w:val="bullet"/>
      <w:lvlText w:val=""/>
      <w:lvlJc w:val="left"/>
      <w:pPr>
        <w:ind w:left="2863" w:hanging="360"/>
      </w:pPr>
      <w:rPr>
        <w:rFonts w:ascii="Wingdings" w:hAnsi="Wingdings" w:hint="default"/>
      </w:rPr>
    </w:lvl>
    <w:lvl w:ilvl="3" w:tplc="1C090001" w:tentative="1">
      <w:start w:val="1"/>
      <w:numFmt w:val="bullet"/>
      <w:lvlText w:val=""/>
      <w:lvlJc w:val="left"/>
      <w:pPr>
        <w:ind w:left="3583" w:hanging="360"/>
      </w:pPr>
      <w:rPr>
        <w:rFonts w:ascii="Symbol" w:hAnsi="Symbol" w:hint="default"/>
      </w:rPr>
    </w:lvl>
    <w:lvl w:ilvl="4" w:tplc="1C090003" w:tentative="1">
      <w:start w:val="1"/>
      <w:numFmt w:val="bullet"/>
      <w:lvlText w:val="o"/>
      <w:lvlJc w:val="left"/>
      <w:pPr>
        <w:ind w:left="4303" w:hanging="360"/>
      </w:pPr>
      <w:rPr>
        <w:rFonts w:ascii="Courier New" w:hAnsi="Courier New" w:cs="Courier New" w:hint="default"/>
      </w:rPr>
    </w:lvl>
    <w:lvl w:ilvl="5" w:tplc="1C090005" w:tentative="1">
      <w:start w:val="1"/>
      <w:numFmt w:val="bullet"/>
      <w:lvlText w:val=""/>
      <w:lvlJc w:val="left"/>
      <w:pPr>
        <w:ind w:left="5023" w:hanging="360"/>
      </w:pPr>
      <w:rPr>
        <w:rFonts w:ascii="Wingdings" w:hAnsi="Wingdings" w:hint="default"/>
      </w:rPr>
    </w:lvl>
    <w:lvl w:ilvl="6" w:tplc="1C090001" w:tentative="1">
      <w:start w:val="1"/>
      <w:numFmt w:val="bullet"/>
      <w:lvlText w:val=""/>
      <w:lvlJc w:val="left"/>
      <w:pPr>
        <w:ind w:left="5743" w:hanging="360"/>
      </w:pPr>
      <w:rPr>
        <w:rFonts w:ascii="Symbol" w:hAnsi="Symbol" w:hint="default"/>
      </w:rPr>
    </w:lvl>
    <w:lvl w:ilvl="7" w:tplc="1C090003" w:tentative="1">
      <w:start w:val="1"/>
      <w:numFmt w:val="bullet"/>
      <w:lvlText w:val="o"/>
      <w:lvlJc w:val="left"/>
      <w:pPr>
        <w:ind w:left="6463" w:hanging="360"/>
      </w:pPr>
      <w:rPr>
        <w:rFonts w:ascii="Courier New" w:hAnsi="Courier New" w:cs="Courier New" w:hint="default"/>
      </w:rPr>
    </w:lvl>
    <w:lvl w:ilvl="8" w:tplc="1C090005" w:tentative="1">
      <w:start w:val="1"/>
      <w:numFmt w:val="bullet"/>
      <w:lvlText w:val=""/>
      <w:lvlJc w:val="left"/>
      <w:pPr>
        <w:ind w:left="7183" w:hanging="360"/>
      </w:pPr>
      <w:rPr>
        <w:rFonts w:ascii="Wingdings" w:hAnsi="Wingdings" w:hint="default"/>
      </w:rPr>
    </w:lvl>
  </w:abstractNum>
  <w:abstractNum w:abstractNumId="4" w15:restartNumberingAfterBreak="0">
    <w:nsid w:val="0C641139"/>
    <w:multiLevelType w:val="hybridMultilevel"/>
    <w:tmpl w:val="4F9211E4"/>
    <w:lvl w:ilvl="0" w:tplc="AB1E23CE">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E298B"/>
    <w:multiLevelType w:val="hybridMultilevel"/>
    <w:tmpl w:val="DF8EF5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F97123"/>
    <w:multiLevelType w:val="hybridMultilevel"/>
    <w:tmpl w:val="20ACE98E"/>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33F30"/>
    <w:multiLevelType w:val="hybridMultilevel"/>
    <w:tmpl w:val="E9B0AC72"/>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80A6A20"/>
    <w:multiLevelType w:val="hybridMultilevel"/>
    <w:tmpl w:val="DE329D1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A3E7606"/>
    <w:multiLevelType w:val="hybridMultilevel"/>
    <w:tmpl w:val="6E8AFC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D56BC7"/>
    <w:multiLevelType w:val="hybridMultilevel"/>
    <w:tmpl w:val="E6B8A882"/>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1" w15:restartNumberingAfterBreak="0">
    <w:nsid w:val="21741F0D"/>
    <w:multiLevelType w:val="hybridMultilevel"/>
    <w:tmpl w:val="D1E836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4866C9"/>
    <w:multiLevelType w:val="hybridMultilevel"/>
    <w:tmpl w:val="7DC0C1FC"/>
    <w:lvl w:ilvl="0" w:tplc="8496084A">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70E08F5"/>
    <w:multiLevelType w:val="hybridMultilevel"/>
    <w:tmpl w:val="A52E4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AAE1DFA"/>
    <w:multiLevelType w:val="hybridMultilevel"/>
    <w:tmpl w:val="32868910"/>
    <w:lvl w:ilvl="0" w:tplc="98C6511A">
      <w:start w:val="1"/>
      <w:numFmt w:val="decimal"/>
      <w:lvlText w:val="%1."/>
      <w:lvlJc w:val="left"/>
      <w:pPr>
        <w:ind w:left="720" w:hanging="360"/>
      </w:pPr>
      <w:rPr>
        <w:rFonts w:ascii="Arial Black" w:hAnsi="Arial Black"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C240D1E"/>
    <w:multiLevelType w:val="hybridMultilevel"/>
    <w:tmpl w:val="ED4C0B2A"/>
    <w:lvl w:ilvl="0" w:tplc="4350E0DE">
      <w:start w:val="6"/>
      <w:numFmt w:val="decimal"/>
      <w:lvlText w:val="%1."/>
      <w:lvlJc w:val="left"/>
      <w:pPr>
        <w:ind w:left="108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C376A24"/>
    <w:multiLevelType w:val="hybridMultilevel"/>
    <w:tmpl w:val="8D72EDD8"/>
    <w:lvl w:ilvl="0" w:tplc="B69056CC">
      <w:start w:val="4"/>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A9160F"/>
    <w:multiLevelType w:val="hybridMultilevel"/>
    <w:tmpl w:val="A0509642"/>
    <w:lvl w:ilvl="0" w:tplc="17A0CB08">
      <w:start w:val="1"/>
      <w:numFmt w:val="bullet"/>
      <w:lvlText w:val=""/>
      <w:lvlJc w:val="left"/>
      <w:pPr>
        <w:tabs>
          <w:tab w:val="num" w:pos="720"/>
        </w:tabs>
        <w:ind w:left="720" w:hanging="360"/>
      </w:pPr>
      <w:rPr>
        <w:rFonts w:ascii="Wingdings 2" w:hAnsi="Wingdings 2" w:hint="default"/>
      </w:rPr>
    </w:lvl>
    <w:lvl w:ilvl="1" w:tplc="A0FE9B1C">
      <w:start w:val="1157"/>
      <w:numFmt w:val="bullet"/>
      <w:lvlText w:val=""/>
      <w:lvlJc w:val="left"/>
      <w:pPr>
        <w:tabs>
          <w:tab w:val="num" w:pos="1440"/>
        </w:tabs>
        <w:ind w:left="1440" w:hanging="360"/>
      </w:pPr>
      <w:rPr>
        <w:rFonts w:ascii="Wingdings" w:hAnsi="Wingdings" w:hint="default"/>
      </w:rPr>
    </w:lvl>
    <w:lvl w:ilvl="2" w:tplc="1A16279E" w:tentative="1">
      <w:start w:val="1"/>
      <w:numFmt w:val="bullet"/>
      <w:lvlText w:val=""/>
      <w:lvlJc w:val="left"/>
      <w:pPr>
        <w:tabs>
          <w:tab w:val="num" w:pos="2160"/>
        </w:tabs>
        <w:ind w:left="2160" w:hanging="360"/>
      </w:pPr>
      <w:rPr>
        <w:rFonts w:ascii="Wingdings 2" w:hAnsi="Wingdings 2" w:hint="default"/>
      </w:rPr>
    </w:lvl>
    <w:lvl w:ilvl="3" w:tplc="3042A9DC" w:tentative="1">
      <w:start w:val="1"/>
      <w:numFmt w:val="bullet"/>
      <w:lvlText w:val=""/>
      <w:lvlJc w:val="left"/>
      <w:pPr>
        <w:tabs>
          <w:tab w:val="num" w:pos="2880"/>
        </w:tabs>
        <w:ind w:left="2880" w:hanging="360"/>
      </w:pPr>
      <w:rPr>
        <w:rFonts w:ascii="Wingdings 2" w:hAnsi="Wingdings 2" w:hint="default"/>
      </w:rPr>
    </w:lvl>
    <w:lvl w:ilvl="4" w:tplc="DF823DE6" w:tentative="1">
      <w:start w:val="1"/>
      <w:numFmt w:val="bullet"/>
      <w:lvlText w:val=""/>
      <w:lvlJc w:val="left"/>
      <w:pPr>
        <w:tabs>
          <w:tab w:val="num" w:pos="3600"/>
        </w:tabs>
        <w:ind w:left="3600" w:hanging="360"/>
      </w:pPr>
      <w:rPr>
        <w:rFonts w:ascii="Wingdings 2" w:hAnsi="Wingdings 2" w:hint="default"/>
      </w:rPr>
    </w:lvl>
    <w:lvl w:ilvl="5" w:tplc="1B9E0002" w:tentative="1">
      <w:start w:val="1"/>
      <w:numFmt w:val="bullet"/>
      <w:lvlText w:val=""/>
      <w:lvlJc w:val="left"/>
      <w:pPr>
        <w:tabs>
          <w:tab w:val="num" w:pos="4320"/>
        </w:tabs>
        <w:ind w:left="4320" w:hanging="360"/>
      </w:pPr>
      <w:rPr>
        <w:rFonts w:ascii="Wingdings 2" w:hAnsi="Wingdings 2" w:hint="default"/>
      </w:rPr>
    </w:lvl>
    <w:lvl w:ilvl="6" w:tplc="837CB856" w:tentative="1">
      <w:start w:val="1"/>
      <w:numFmt w:val="bullet"/>
      <w:lvlText w:val=""/>
      <w:lvlJc w:val="left"/>
      <w:pPr>
        <w:tabs>
          <w:tab w:val="num" w:pos="5040"/>
        </w:tabs>
        <w:ind w:left="5040" w:hanging="360"/>
      </w:pPr>
      <w:rPr>
        <w:rFonts w:ascii="Wingdings 2" w:hAnsi="Wingdings 2" w:hint="default"/>
      </w:rPr>
    </w:lvl>
    <w:lvl w:ilvl="7" w:tplc="397CB8D2" w:tentative="1">
      <w:start w:val="1"/>
      <w:numFmt w:val="bullet"/>
      <w:lvlText w:val=""/>
      <w:lvlJc w:val="left"/>
      <w:pPr>
        <w:tabs>
          <w:tab w:val="num" w:pos="5760"/>
        </w:tabs>
        <w:ind w:left="5760" w:hanging="360"/>
      </w:pPr>
      <w:rPr>
        <w:rFonts w:ascii="Wingdings 2" w:hAnsi="Wingdings 2" w:hint="default"/>
      </w:rPr>
    </w:lvl>
    <w:lvl w:ilvl="8" w:tplc="EFA6793E"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46E2290"/>
    <w:multiLevelType w:val="hybridMultilevel"/>
    <w:tmpl w:val="5C28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85E2C"/>
    <w:multiLevelType w:val="hybridMultilevel"/>
    <w:tmpl w:val="70165EB4"/>
    <w:lvl w:ilvl="0" w:tplc="1C09000F">
      <w:start w:val="1"/>
      <w:numFmt w:val="decimal"/>
      <w:lvlText w:val="%1."/>
      <w:lvlJc w:val="left"/>
      <w:pPr>
        <w:ind w:left="1440" w:hanging="360"/>
      </w:pPr>
      <w:rPr>
        <w:rFonts w:hint="default"/>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36C55C77"/>
    <w:multiLevelType w:val="hybridMultilevel"/>
    <w:tmpl w:val="020606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1B6840"/>
    <w:multiLevelType w:val="hybridMultilevel"/>
    <w:tmpl w:val="4FC6CA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30013D2"/>
    <w:multiLevelType w:val="hybridMultilevel"/>
    <w:tmpl w:val="0E16D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340347D"/>
    <w:multiLevelType w:val="hybridMultilevel"/>
    <w:tmpl w:val="111E250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9C4374C"/>
    <w:multiLevelType w:val="hybridMultilevel"/>
    <w:tmpl w:val="F7FE8172"/>
    <w:lvl w:ilvl="0" w:tplc="85D4756C">
      <w:start w:val="1"/>
      <w:numFmt w:val="lowerLetter"/>
      <w:lvlText w:val="%1)"/>
      <w:lvlJc w:val="left"/>
      <w:pPr>
        <w:ind w:left="1440" w:hanging="360"/>
      </w:pPr>
      <w:rPr>
        <w:rFonts w:hint="default"/>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4A002107"/>
    <w:multiLevelType w:val="hybridMultilevel"/>
    <w:tmpl w:val="98C68F7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CCE398F"/>
    <w:multiLevelType w:val="hybridMultilevel"/>
    <w:tmpl w:val="4D10EDC0"/>
    <w:lvl w:ilvl="0" w:tplc="8326B7A0">
      <w:start w:val="1"/>
      <w:numFmt w:val="bullet"/>
      <w:lvlText w:val=""/>
      <w:lvlJc w:val="left"/>
      <w:pPr>
        <w:tabs>
          <w:tab w:val="num" w:pos="360"/>
        </w:tabs>
        <w:ind w:left="360" w:hanging="360"/>
      </w:pPr>
      <w:rPr>
        <w:rFonts w:ascii="Wingdings 2" w:hAnsi="Wingdings 2" w:hint="default"/>
      </w:rPr>
    </w:lvl>
    <w:lvl w:ilvl="1" w:tplc="1C090001">
      <w:start w:val="1"/>
      <w:numFmt w:val="bullet"/>
      <w:lvlText w:val=""/>
      <w:lvlJc w:val="left"/>
      <w:pPr>
        <w:tabs>
          <w:tab w:val="num" w:pos="1080"/>
        </w:tabs>
        <w:ind w:left="1080" w:hanging="360"/>
      </w:pPr>
      <w:rPr>
        <w:rFonts w:ascii="Symbol" w:hAnsi="Symbol" w:hint="default"/>
      </w:rPr>
    </w:lvl>
    <w:lvl w:ilvl="2" w:tplc="E86283B4" w:tentative="1">
      <w:start w:val="1"/>
      <w:numFmt w:val="bullet"/>
      <w:lvlText w:val=""/>
      <w:lvlJc w:val="left"/>
      <w:pPr>
        <w:tabs>
          <w:tab w:val="num" w:pos="1800"/>
        </w:tabs>
        <w:ind w:left="1800" w:hanging="360"/>
      </w:pPr>
      <w:rPr>
        <w:rFonts w:ascii="Wingdings 2" w:hAnsi="Wingdings 2" w:hint="default"/>
      </w:rPr>
    </w:lvl>
    <w:lvl w:ilvl="3" w:tplc="29866006" w:tentative="1">
      <w:start w:val="1"/>
      <w:numFmt w:val="bullet"/>
      <w:lvlText w:val=""/>
      <w:lvlJc w:val="left"/>
      <w:pPr>
        <w:tabs>
          <w:tab w:val="num" w:pos="2520"/>
        </w:tabs>
        <w:ind w:left="2520" w:hanging="360"/>
      </w:pPr>
      <w:rPr>
        <w:rFonts w:ascii="Wingdings 2" w:hAnsi="Wingdings 2" w:hint="default"/>
      </w:rPr>
    </w:lvl>
    <w:lvl w:ilvl="4" w:tplc="60DAE426" w:tentative="1">
      <w:start w:val="1"/>
      <w:numFmt w:val="bullet"/>
      <w:lvlText w:val=""/>
      <w:lvlJc w:val="left"/>
      <w:pPr>
        <w:tabs>
          <w:tab w:val="num" w:pos="3240"/>
        </w:tabs>
        <w:ind w:left="3240" w:hanging="360"/>
      </w:pPr>
      <w:rPr>
        <w:rFonts w:ascii="Wingdings 2" w:hAnsi="Wingdings 2" w:hint="default"/>
      </w:rPr>
    </w:lvl>
    <w:lvl w:ilvl="5" w:tplc="22CAFC7A" w:tentative="1">
      <w:start w:val="1"/>
      <w:numFmt w:val="bullet"/>
      <w:lvlText w:val=""/>
      <w:lvlJc w:val="left"/>
      <w:pPr>
        <w:tabs>
          <w:tab w:val="num" w:pos="3960"/>
        </w:tabs>
        <w:ind w:left="3960" w:hanging="360"/>
      </w:pPr>
      <w:rPr>
        <w:rFonts w:ascii="Wingdings 2" w:hAnsi="Wingdings 2" w:hint="default"/>
      </w:rPr>
    </w:lvl>
    <w:lvl w:ilvl="6" w:tplc="5F163FD4" w:tentative="1">
      <w:start w:val="1"/>
      <w:numFmt w:val="bullet"/>
      <w:lvlText w:val=""/>
      <w:lvlJc w:val="left"/>
      <w:pPr>
        <w:tabs>
          <w:tab w:val="num" w:pos="4680"/>
        </w:tabs>
        <w:ind w:left="4680" w:hanging="360"/>
      </w:pPr>
      <w:rPr>
        <w:rFonts w:ascii="Wingdings 2" w:hAnsi="Wingdings 2" w:hint="default"/>
      </w:rPr>
    </w:lvl>
    <w:lvl w:ilvl="7" w:tplc="1BF25788" w:tentative="1">
      <w:start w:val="1"/>
      <w:numFmt w:val="bullet"/>
      <w:lvlText w:val=""/>
      <w:lvlJc w:val="left"/>
      <w:pPr>
        <w:tabs>
          <w:tab w:val="num" w:pos="5400"/>
        </w:tabs>
        <w:ind w:left="5400" w:hanging="360"/>
      </w:pPr>
      <w:rPr>
        <w:rFonts w:ascii="Wingdings 2" w:hAnsi="Wingdings 2" w:hint="default"/>
      </w:rPr>
    </w:lvl>
    <w:lvl w:ilvl="8" w:tplc="4FFE36C4" w:tentative="1">
      <w:start w:val="1"/>
      <w:numFmt w:val="bullet"/>
      <w:lvlText w:val=""/>
      <w:lvlJc w:val="left"/>
      <w:pPr>
        <w:tabs>
          <w:tab w:val="num" w:pos="6120"/>
        </w:tabs>
        <w:ind w:left="6120" w:hanging="360"/>
      </w:pPr>
      <w:rPr>
        <w:rFonts w:ascii="Wingdings 2" w:hAnsi="Wingdings 2" w:hint="default"/>
      </w:rPr>
    </w:lvl>
  </w:abstractNum>
  <w:abstractNum w:abstractNumId="27" w15:restartNumberingAfterBreak="0">
    <w:nsid w:val="4D0C105D"/>
    <w:multiLevelType w:val="hybridMultilevel"/>
    <w:tmpl w:val="CDEA03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EEE4BF9"/>
    <w:multiLevelType w:val="hybridMultilevel"/>
    <w:tmpl w:val="A058E3B0"/>
    <w:lvl w:ilvl="0" w:tplc="1C090017">
      <w:start w:val="1"/>
      <w:numFmt w:val="lowerLetter"/>
      <w:lvlText w:val="%1)"/>
      <w:lvlJc w:val="left"/>
      <w:pPr>
        <w:ind w:left="765" w:hanging="360"/>
      </w:pPr>
    </w:lvl>
    <w:lvl w:ilvl="1" w:tplc="1C090019">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9" w15:restartNumberingAfterBreak="0">
    <w:nsid w:val="56694EF0"/>
    <w:multiLevelType w:val="hybridMultilevel"/>
    <w:tmpl w:val="0170799E"/>
    <w:lvl w:ilvl="0" w:tplc="B65A1D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7F63D10"/>
    <w:multiLevelType w:val="hybridMultilevel"/>
    <w:tmpl w:val="A600E7C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0C748C"/>
    <w:multiLevelType w:val="hybridMultilevel"/>
    <w:tmpl w:val="3AA8A034"/>
    <w:lvl w:ilvl="0" w:tplc="B65A1D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FFA44E2"/>
    <w:multiLevelType w:val="hybridMultilevel"/>
    <w:tmpl w:val="AEDEEA72"/>
    <w:lvl w:ilvl="0" w:tplc="B65A1D30">
      <w:start w:val="1"/>
      <w:numFmt w:val="lowerLetter"/>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2D60407"/>
    <w:multiLevelType w:val="hybridMultilevel"/>
    <w:tmpl w:val="60B8E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F490170"/>
    <w:multiLevelType w:val="hybridMultilevel"/>
    <w:tmpl w:val="9C48FAF4"/>
    <w:lvl w:ilvl="0" w:tplc="1C090009">
      <w:start w:val="1"/>
      <w:numFmt w:val="bullet"/>
      <w:lvlText w:val=""/>
      <w:lvlJc w:val="left"/>
      <w:pPr>
        <w:ind w:left="2220" w:hanging="360"/>
      </w:pPr>
      <w:rPr>
        <w:rFonts w:ascii="Wingdings" w:hAnsi="Wingdings"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35" w15:restartNumberingAfterBreak="0">
    <w:nsid w:val="70F10F7E"/>
    <w:multiLevelType w:val="hybridMultilevel"/>
    <w:tmpl w:val="0F00B5AA"/>
    <w:lvl w:ilvl="0" w:tplc="B65A1D30">
      <w:start w:val="1"/>
      <w:numFmt w:val="lowerLetter"/>
      <w:lvlText w:val="%1)"/>
      <w:lvlJc w:val="left"/>
      <w:pPr>
        <w:ind w:left="720" w:hanging="360"/>
      </w:pPr>
      <w:rPr>
        <w:rFonts w:hint="default"/>
        <w:b w:val="0"/>
      </w:r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2E3457B"/>
    <w:multiLevelType w:val="hybridMultilevel"/>
    <w:tmpl w:val="77A8FD9E"/>
    <w:lvl w:ilvl="0" w:tplc="23F8511A">
      <w:start w:val="6"/>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52C60B1"/>
    <w:multiLevelType w:val="hybridMultilevel"/>
    <w:tmpl w:val="38020C94"/>
    <w:lvl w:ilvl="0" w:tplc="295630C4">
      <w:start w:val="1"/>
      <w:numFmt w:val="lowerLetter"/>
      <w:lvlText w:val="%1)"/>
      <w:lvlJc w:val="left"/>
      <w:pPr>
        <w:ind w:left="1063" w:hanging="360"/>
      </w:pPr>
      <w:rPr>
        <w:rFonts w:hint="default"/>
      </w:rPr>
    </w:lvl>
    <w:lvl w:ilvl="1" w:tplc="1C090019">
      <w:start w:val="1"/>
      <w:numFmt w:val="lowerLetter"/>
      <w:lvlText w:val="%2."/>
      <w:lvlJc w:val="left"/>
      <w:pPr>
        <w:ind w:left="1783" w:hanging="360"/>
      </w:pPr>
    </w:lvl>
    <w:lvl w:ilvl="2" w:tplc="1C09001B">
      <w:start w:val="1"/>
      <w:numFmt w:val="lowerRoman"/>
      <w:lvlText w:val="%3."/>
      <w:lvlJc w:val="right"/>
      <w:pPr>
        <w:ind w:left="2503" w:hanging="180"/>
      </w:pPr>
    </w:lvl>
    <w:lvl w:ilvl="3" w:tplc="1C09000F" w:tentative="1">
      <w:start w:val="1"/>
      <w:numFmt w:val="decimal"/>
      <w:lvlText w:val="%4."/>
      <w:lvlJc w:val="left"/>
      <w:pPr>
        <w:ind w:left="3223" w:hanging="360"/>
      </w:pPr>
    </w:lvl>
    <w:lvl w:ilvl="4" w:tplc="1C090019" w:tentative="1">
      <w:start w:val="1"/>
      <w:numFmt w:val="lowerLetter"/>
      <w:lvlText w:val="%5."/>
      <w:lvlJc w:val="left"/>
      <w:pPr>
        <w:ind w:left="3943" w:hanging="360"/>
      </w:pPr>
    </w:lvl>
    <w:lvl w:ilvl="5" w:tplc="1C09001B" w:tentative="1">
      <w:start w:val="1"/>
      <w:numFmt w:val="lowerRoman"/>
      <w:lvlText w:val="%6."/>
      <w:lvlJc w:val="right"/>
      <w:pPr>
        <w:ind w:left="4663" w:hanging="180"/>
      </w:pPr>
    </w:lvl>
    <w:lvl w:ilvl="6" w:tplc="1C09000F" w:tentative="1">
      <w:start w:val="1"/>
      <w:numFmt w:val="decimal"/>
      <w:lvlText w:val="%7."/>
      <w:lvlJc w:val="left"/>
      <w:pPr>
        <w:ind w:left="5383" w:hanging="360"/>
      </w:pPr>
    </w:lvl>
    <w:lvl w:ilvl="7" w:tplc="1C090019" w:tentative="1">
      <w:start w:val="1"/>
      <w:numFmt w:val="lowerLetter"/>
      <w:lvlText w:val="%8."/>
      <w:lvlJc w:val="left"/>
      <w:pPr>
        <w:ind w:left="6103" w:hanging="360"/>
      </w:pPr>
    </w:lvl>
    <w:lvl w:ilvl="8" w:tplc="1C09001B" w:tentative="1">
      <w:start w:val="1"/>
      <w:numFmt w:val="lowerRoman"/>
      <w:lvlText w:val="%9."/>
      <w:lvlJc w:val="right"/>
      <w:pPr>
        <w:ind w:left="6823" w:hanging="180"/>
      </w:pPr>
    </w:lvl>
  </w:abstractNum>
  <w:abstractNum w:abstractNumId="38" w15:restartNumberingAfterBreak="0">
    <w:nsid w:val="76DF092C"/>
    <w:multiLevelType w:val="hybridMultilevel"/>
    <w:tmpl w:val="02C6E21A"/>
    <w:lvl w:ilvl="0" w:tplc="B65A1D30">
      <w:start w:val="1"/>
      <w:numFmt w:val="lowerLetter"/>
      <w:lvlText w:val="%1)"/>
      <w:lvlJc w:val="left"/>
      <w:pPr>
        <w:ind w:left="1440" w:hanging="360"/>
      </w:pPr>
      <w:rPr>
        <w:rFonts w:hint="default"/>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9" w15:restartNumberingAfterBreak="0">
    <w:nsid w:val="78E82E6C"/>
    <w:multiLevelType w:val="hybridMultilevel"/>
    <w:tmpl w:val="337ECC86"/>
    <w:lvl w:ilvl="0" w:tplc="1C090011">
      <w:start w:val="1"/>
      <w:numFmt w:val="decimal"/>
      <w:lvlText w:val="%1)"/>
      <w:lvlJc w:val="left"/>
      <w:pPr>
        <w:ind w:left="720" w:hanging="360"/>
      </w:pPr>
    </w:lvl>
    <w:lvl w:ilvl="1" w:tplc="B6B24004">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A46561"/>
    <w:multiLevelType w:val="hybridMultilevel"/>
    <w:tmpl w:val="10BEC13A"/>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41" w15:restartNumberingAfterBreak="0">
    <w:nsid w:val="7C0C38AA"/>
    <w:multiLevelType w:val="hybridMultilevel"/>
    <w:tmpl w:val="FF004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CA810E8"/>
    <w:multiLevelType w:val="hybridMultilevel"/>
    <w:tmpl w:val="98EC31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DE47641"/>
    <w:multiLevelType w:val="hybridMultilevel"/>
    <w:tmpl w:val="CCE050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8734912">
    <w:abstractNumId w:val="22"/>
  </w:num>
  <w:num w:numId="2" w16cid:durableId="1005474229">
    <w:abstractNumId w:val="39"/>
  </w:num>
  <w:num w:numId="3" w16cid:durableId="1784229429">
    <w:abstractNumId w:val="28"/>
  </w:num>
  <w:num w:numId="4" w16cid:durableId="1032077628">
    <w:abstractNumId w:val="10"/>
  </w:num>
  <w:num w:numId="5" w16cid:durableId="1035077274">
    <w:abstractNumId w:val="40"/>
  </w:num>
  <w:num w:numId="6" w16cid:durableId="746076785">
    <w:abstractNumId w:val="7"/>
  </w:num>
  <w:num w:numId="7" w16cid:durableId="132673755">
    <w:abstractNumId w:val="6"/>
  </w:num>
  <w:num w:numId="8" w16cid:durableId="1348215467">
    <w:abstractNumId w:val="13"/>
  </w:num>
  <w:num w:numId="9" w16cid:durableId="1344474625">
    <w:abstractNumId w:val="20"/>
  </w:num>
  <w:num w:numId="10" w16cid:durableId="1725252575">
    <w:abstractNumId w:val="5"/>
  </w:num>
  <w:num w:numId="11" w16cid:durableId="163710361">
    <w:abstractNumId w:val="27"/>
  </w:num>
  <w:num w:numId="12" w16cid:durableId="1463307701">
    <w:abstractNumId w:val="41"/>
  </w:num>
  <w:num w:numId="13" w16cid:durableId="722097073">
    <w:abstractNumId w:val="12"/>
  </w:num>
  <w:num w:numId="14" w16cid:durableId="1250038151">
    <w:abstractNumId w:val="0"/>
  </w:num>
  <w:num w:numId="15" w16cid:durableId="1056659011">
    <w:abstractNumId w:val="26"/>
  </w:num>
  <w:num w:numId="16" w16cid:durableId="232783940">
    <w:abstractNumId w:val="17"/>
  </w:num>
  <w:num w:numId="17" w16cid:durableId="877351172">
    <w:abstractNumId w:val="43"/>
  </w:num>
  <w:num w:numId="18" w16cid:durableId="1122189943">
    <w:abstractNumId w:val="19"/>
  </w:num>
  <w:num w:numId="19" w16cid:durableId="1134636550">
    <w:abstractNumId w:val="33"/>
  </w:num>
  <w:num w:numId="20" w16cid:durableId="26755813">
    <w:abstractNumId w:val="25"/>
  </w:num>
  <w:num w:numId="21" w16cid:durableId="72506263">
    <w:abstractNumId w:val="15"/>
  </w:num>
  <w:num w:numId="22" w16cid:durableId="2060012445">
    <w:abstractNumId w:val="8"/>
  </w:num>
  <w:num w:numId="23" w16cid:durableId="1413897072">
    <w:abstractNumId w:val="37"/>
  </w:num>
  <w:num w:numId="24" w16cid:durableId="2129621787">
    <w:abstractNumId w:val="3"/>
  </w:num>
  <w:num w:numId="25" w16cid:durableId="1331761587">
    <w:abstractNumId w:val="1"/>
  </w:num>
  <w:num w:numId="26" w16cid:durableId="1616212720">
    <w:abstractNumId w:val="38"/>
  </w:num>
  <w:num w:numId="27" w16cid:durableId="1764565935">
    <w:abstractNumId w:val="34"/>
  </w:num>
  <w:num w:numId="28" w16cid:durableId="935598000">
    <w:abstractNumId w:val="31"/>
  </w:num>
  <w:num w:numId="29" w16cid:durableId="1508714063">
    <w:abstractNumId w:val="30"/>
  </w:num>
  <w:num w:numId="30" w16cid:durableId="1088160705">
    <w:abstractNumId w:val="32"/>
  </w:num>
  <w:num w:numId="31" w16cid:durableId="1511068479">
    <w:abstractNumId w:val="35"/>
  </w:num>
  <w:num w:numId="32" w16cid:durableId="1722247287">
    <w:abstractNumId w:val="24"/>
  </w:num>
  <w:num w:numId="33" w16cid:durableId="1120031838">
    <w:abstractNumId w:val="21"/>
  </w:num>
  <w:num w:numId="34" w16cid:durableId="1162234928">
    <w:abstractNumId w:val="4"/>
  </w:num>
  <w:num w:numId="35" w16cid:durableId="533347565">
    <w:abstractNumId w:val="2"/>
  </w:num>
  <w:num w:numId="36" w16cid:durableId="920260270">
    <w:abstractNumId w:val="2"/>
    <w:lvlOverride w:ilvl="0">
      <w:startOverride w:val="1"/>
    </w:lvlOverride>
  </w:num>
  <w:num w:numId="37" w16cid:durableId="1968513112">
    <w:abstractNumId w:val="14"/>
  </w:num>
  <w:num w:numId="38" w16cid:durableId="135489714">
    <w:abstractNumId w:val="16"/>
  </w:num>
  <w:num w:numId="39" w16cid:durableId="997150013">
    <w:abstractNumId w:val="29"/>
  </w:num>
  <w:num w:numId="40" w16cid:durableId="1773162480">
    <w:abstractNumId w:val="23"/>
  </w:num>
  <w:num w:numId="41" w16cid:durableId="1745562999">
    <w:abstractNumId w:val="36"/>
  </w:num>
  <w:num w:numId="42" w16cid:durableId="1584603425">
    <w:abstractNumId w:val="18"/>
  </w:num>
  <w:num w:numId="43" w16cid:durableId="610481372">
    <w:abstractNumId w:val="11"/>
  </w:num>
  <w:num w:numId="44" w16cid:durableId="978455783">
    <w:abstractNumId w:val="9"/>
  </w:num>
  <w:num w:numId="45" w16cid:durableId="1463159644">
    <w:abstractNumId w:val="4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7B"/>
    <w:rsid w:val="00010342"/>
    <w:rsid w:val="00013523"/>
    <w:rsid w:val="00015FA0"/>
    <w:rsid w:val="00021CE5"/>
    <w:rsid w:val="00025FBB"/>
    <w:rsid w:val="0003345D"/>
    <w:rsid w:val="0006335D"/>
    <w:rsid w:val="00067548"/>
    <w:rsid w:val="000767AE"/>
    <w:rsid w:val="00080DA7"/>
    <w:rsid w:val="00082A6C"/>
    <w:rsid w:val="00092BAC"/>
    <w:rsid w:val="0009474A"/>
    <w:rsid w:val="0009672C"/>
    <w:rsid w:val="000A66F3"/>
    <w:rsid w:val="000B31DF"/>
    <w:rsid w:val="000C3E97"/>
    <w:rsid w:val="000D1E95"/>
    <w:rsid w:val="000D23C3"/>
    <w:rsid w:val="000F05F5"/>
    <w:rsid w:val="000F14A6"/>
    <w:rsid w:val="000F3462"/>
    <w:rsid w:val="000F430F"/>
    <w:rsid w:val="000F5D0D"/>
    <w:rsid w:val="00114766"/>
    <w:rsid w:val="00123750"/>
    <w:rsid w:val="00123E1E"/>
    <w:rsid w:val="001240D6"/>
    <w:rsid w:val="00133BF1"/>
    <w:rsid w:val="00144B52"/>
    <w:rsid w:val="00146A9A"/>
    <w:rsid w:val="00155D63"/>
    <w:rsid w:val="00161262"/>
    <w:rsid w:val="00162D66"/>
    <w:rsid w:val="00164AFC"/>
    <w:rsid w:val="0017186A"/>
    <w:rsid w:val="00173F21"/>
    <w:rsid w:val="00177261"/>
    <w:rsid w:val="00192ABB"/>
    <w:rsid w:val="001973B3"/>
    <w:rsid w:val="001A010A"/>
    <w:rsid w:val="001A3987"/>
    <w:rsid w:val="001A44CC"/>
    <w:rsid w:val="001B18DC"/>
    <w:rsid w:val="001D0E35"/>
    <w:rsid w:val="001D35DA"/>
    <w:rsid w:val="001D67FE"/>
    <w:rsid w:val="001E2987"/>
    <w:rsid w:val="001E5B89"/>
    <w:rsid w:val="001F2902"/>
    <w:rsid w:val="001F74B5"/>
    <w:rsid w:val="00207FA6"/>
    <w:rsid w:val="00211084"/>
    <w:rsid w:val="002118D7"/>
    <w:rsid w:val="00220565"/>
    <w:rsid w:val="00230207"/>
    <w:rsid w:val="002562DB"/>
    <w:rsid w:val="00262C00"/>
    <w:rsid w:val="00265973"/>
    <w:rsid w:val="00266674"/>
    <w:rsid w:val="00266B37"/>
    <w:rsid w:val="00267B3A"/>
    <w:rsid w:val="0027499F"/>
    <w:rsid w:val="002B320C"/>
    <w:rsid w:val="002B4D38"/>
    <w:rsid w:val="002C7278"/>
    <w:rsid w:val="002E4BAB"/>
    <w:rsid w:val="002F342C"/>
    <w:rsid w:val="002F61FA"/>
    <w:rsid w:val="002F7BBD"/>
    <w:rsid w:val="00304983"/>
    <w:rsid w:val="00312C74"/>
    <w:rsid w:val="0031371B"/>
    <w:rsid w:val="00317F97"/>
    <w:rsid w:val="00322152"/>
    <w:rsid w:val="003335A5"/>
    <w:rsid w:val="00337E38"/>
    <w:rsid w:val="0034133B"/>
    <w:rsid w:val="003421AE"/>
    <w:rsid w:val="003442DC"/>
    <w:rsid w:val="003463E2"/>
    <w:rsid w:val="00354CEA"/>
    <w:rsid w:val="00357445"/>
    <w:rsid w:val="003606E2"/>
    <w:rsid w:val="003820C6"/>
    <w:rsid w:val="00390C4A"/>
    <w:rsid w:val="00392DF7"/>
    <w:rsid w:val="003A55D1"/>
    <w:rsid w:val="003C19B2"/>
    <w:rsid w:val="003C57FB"/>
    <w:rsid w:val="003E1C00"/>
    <w:rsid w:val="003E38A5"/>
    <w:rsid w:val="003E57DF"/>
    <w:rsid w:val="003F4751"/>
    <w:rsid w:val="003F6A44"/>
    <w:rsid w:val="00401082"/>
    <w:rsid w:val="00421675"/>
    <w:rsid w:val="00433535"/>
    <w:rsid w:val="00435F12"/>
    <w:rsid w:val="004433A0"/>
    <w:rsid w:val="00443464"/>
    <w:rsid w:val="00457D3B"/>
    <w:rsid w:val="0046069A"/>
    <w:rsid w:val="00481A4A"/>
    <w:rsid w:val="004841AA"/>
    <w:rsid w:val="00484BDF"/>
    <w:rsid w:val="00496058"/>
    <w:rsid w:val="004974B8"/>
    <w:rsid w:val="004A145A"/>
    <w:rsid w:val="004A4B39"/>
    <w:rsid w:val="004A6491"/>
    <w:rsid w:val="004A649B"/>
    <w:rsid w:val="004B27C6"/>
    <w:rsid w:val="004B52A5"/>
    <w:rsid w:val="004B548B"/>
    <w:rsid w:val="004B71BA"/>
    <w:rsid w:val="004C3EF5"/>
    <w:rsid w:val="004C512A"/>
    <w:rsid w:val="004D263A"/>
    <w:rsid w:val="004D44A9"/>
    <w:rsid w:val="004D4CAC"/>
    <w:rsid w:val="004E4AB2"/>
    <w:rsid w:val="004F7086"/>
    <w:rsid w:val="00510554"/>
    <w:rsid w:val="0052156E"/>
    <w:rsid w:val="005246C1"/>
    <w:rsid w:val="00526078"/>
    <w:rsid w:val="00531368"/>
    <w:rsid w:val="005323A5"/>
    <w:rsid w:val="00535C11"/>
    <w:rsid w:val="00550DFE"/>
    <w:rsid w:val="00551B71"/>
    <w:rsid w:val="0055365D"/>
    <w:rsid w:val="00553A95"/>
    <w:rsid w:val="00554A13"/>
    <w:rsid w:val="00567C9F"/>
    <w:rsid w:val="00567DEE"/>
    <w:rsid w:val="00570E3F"/>
    <w:rsid w:val="00582888"/>
    <w:rsid w:val="00590038"/>
    <w:rsid w:val="0059121F"/>
    <w:rsid w:val="00591643"/>
    <w:rsid w:val="005947BF"/>
    <w:rsid w:val="00596AB5"/>
    <w:rsid w:val="00596C1C"/>
    <w:rsid w:val="005A30DF"/>
    <w:rsid w:val="005B1CB6"/>
    <w:rsid w:val="005B4BBA"/>
    <w:rsid w:val="005C3C14"/>
    <w:rsid w:val="005C668B"/>
    <w:rsid w:val="005D36A4"/>
    <w:rsid w:val="005D6525"/>
    <w:rsid w:val="005E1C64"/>
    <w:rsid w:val="005F01FF"/>
    <w:rsid w:val="005F4A3D"/>
    <w:rsid w:val="005F5E76"/>
    <w:rsid w:val="00603CDC"/>
    <w:rsid w:val="00603F66"/>
    <w:rsid w:val="00620A52"/>
    <w:rsid w:val="00621368"/>
    <w:rsid w:val="00624EC9"/>
    <w:rsid w:val="00630F20"/>
    <w:rsid w:val="00633A75"/>
    <w:rsid w:val="00644E1A"/>
    <w:rsid w:val="00650A9F"/>
    <w:rsid w:val="0065168C"/>
    <w:rsid w:val="00657C06"/>
    <w:rsid w:val="006630E8"/>
    <w:rsid w:val="00666EAA"/>
    <w:rsid w:val="00670A2E"/>
    <w:rsid w:val="0067428F"/>
    <w:rsid w:val="006769AB"/>
    <w:rsid w:val="00677370"/>
    <w:rsid w:val="00697001"/>
    <w:rsid w:val="006A3841"/>
    <w:rsid w:val="006A56B9"/>
    <w:rsid w:val="006A5FBB"/>
    <w:rsid w:val="006B00B2"/>
    <w:rsid w:val="006B1F4B"/>
    <w:rsid w:val="006B787E"/>
    <w:rsid w:val="006C4600"/>
    <w:rsid w:val="006C4650"/>
    <w:rsid w:val="006D060B"/>
    <w:rsid w:val="006D3C31"/>
    <w:rsid w:val="006D787A"/>
    <w:rsid w:val="006E34F7"/>
    <w:rsid w:val="006F12D1"/>
    <w:rsid w:val="006F3ADF"/>
    <w:rsid w:val="00700881"/>
    <w:rsid w:val="00710E46"/>
    <w:rsid w:val="00714E69"/>
    <w:rsid w:val="00716BA5"/>
    <w:rsid w:val="00720242"/>
    <w:rsid w:val="007248DA"/>
    <w:rsid w:val="007337AE"/>
    <w:rsid w:val="00733EC1"/>
    <w:rsid w:val="00741880"/>
    <w:rsid w:val="00747A23"/>
    <w:rsid w:val="00756FB5"/>
    <w:rsid w:val="007609FA"/>
    <w:rsid w:val="00766B4B"/>
    <w:rsid w:val="00767DF1"/>
    <w:rsid w:val="007734FA"/>
    <w:rsid w:val="00775D0F"/>
    <w:rsid w:val="0078665D"/>
    <w:rsid w:val="0079003D"/>
    <w:rsid w:val="00791C83"/>
    <w:rsid w:val="007934A7"/>
    <w:rsid w:val="007A226F"/>
    <w:rsid w:val="007A6A73"/>
    <w:rsid w:val="007B1CCB"/>
    <w:rsid w:val="007B221C"/>
    <w:rsid w:val="007B3496"/>
    <w:rsid w:val="007B419D"/>
    <w:rsid w:val="007B60AE"/>
    <w:rsid w:val="007D34B2"/>
    <w:rsid w:val="007D3678"/>
    <w:rsid w:val="007E304F"/>
    <w:rsid w:val="007F070F"/>
    <w:rsid w:val="007F48AC"/>
    <w:rsid w:val="0080006C"/>
    <w:rsid w:val="0080402A"/>
    <w:rsid w:val="008071FE"/>
    <w:rsid w:val="008126A8"/>
    <w:rsid w:val="00812CC9"/>
    <w:rsid w:val="00812F0C"/>
    <w:rsid w:val="0081496D"/>
    <w:rsid w:val="00825A3A"/>
    <w:rsid w:val="00825BA7"/>
    <w:rsid w:val="00832500"/>
    <w:rsid w:val="0084191F"/>
    <w:rsid w:val="00842CE4"/>
    <w:rsid w:val="008439A5"/>
    <w:rsid w:val="00846FD1"/>
    <w:rsid w:val="00857B75"/>
    <w:rsid w:val="008618E7"/>
    <w:rsid w:val="00873BA0"/>
    <w:rsid w:val="00876D2B"/>
    <w:rsid w:val="00884134"/>
    <w:rsid w:val="0088564A"/>
    <w:rsid w:val="00886C96"/>
    <w:rsid w:val="00892A8B"/>
    <w:rsid w:val="0089447E"/>
    <w:rsid w:val="008A21B7"/>
    <w:rsid w:val="008A4F10"/>
    <w:rsid w:val="008A5868"/>
    <w:rsid w:val="008B4BEC"/>
    <w:rsid w:val="008B50E5"/>
    <w:rsid w:val="008C2710"/>
    <w:rsid w:val="008C38A5"/>
    <w:rsid w:val="008C6665"/>
    <w:rsid w:val="008C6766"/>
    <w:rsid w:val="008D42DD"/>
    <w:rsid w:val="008D6A95"/>
    <w:rsid w:val="008E6B47"/>
    <w:rsid w:val="008F1E6B"/>
    <w:rsid w:val="008F673A"/>
    <w:rsid w:val="008F6FC1"/>
    <w:rsid w:val="009000F7"/>
    <w:rsid w:val="00902DE0"/>
    <w:rsid w:val="00904A36"/>
    <w:rsid w:val="00917B40"/>
    <w:rsid w:val="0092697E"/>
    <w:rsid w:val="00933A87"/>
    <w:rsid w:val="0093532E"/>
    <w:rsid w:val="009360B6"/>
    <w:rsid w:val="00943250"/>
    <w:rsid w:val="00972D73"/>
    <w:rsid w:val="00975FD8"/>
    <w:rsid w:val="0097696C"/>
    <w:rsid w:val="0098016D"/>
    <w:rsid w:val="009A3C06"/>
    <w:rsid w:val="009A48B2"/>
    <w:rsid w:val="009B177B"/>
    <w:rsid w:val="009B1B5E"/>
    <w:rsid w:val="009C67D2"/>
    <w:rsid w:val="009D49CB"/>
    <w:rsid w:val="009E1A4B"/>
    <w:rsid w:val="009E473C"/>
    <w:rsid w:val="009F0ED8"/>
    <w:rsid w:val="00A12145"/>
    <w:rsid w:val="00A12764"/>
    <w:rsid w:val="00A12DDA"/>
    <w:rsid w:val="00A13D01"/>
    <w:rsid w:val="00A3008B"/>
    <w:rsid w:val="00A3468A"/>
    <w:rsid w:val="00A43BAA"/>
    <w:rsid w:val="00A44B29"/>
    <w:rsid w:val="00A45B4B"/>
    <w:rsid w:val="00A5467B"/>
    <w:rsid w:val="00A55B43"/>
    <w:rsid w:val="00A56C5E"/>
    <w:rsid w:val="00A6464A"/>
    <w:rsid w:val="00A769F9"/>
    <w:rsid w:val="00A931D5"/>
    <w:rsid w:val="00AA0025"/>
    <w:rsid w:val="00AA124F"/>
    <w:rsid w:val="00AA1A45"/>
    <w:rsid w:val="00AA6830"/>
    <w:rsid w:val="00AC061B"/>
    <w:rsid w:val="00AC0EEE"/>
    <w:rsid w:val="00AC3473"/>
    <w:rsid w:val="00AC47D3"/>
    <w:rsid w:val="00AC62F2"/>
    <w:rsid w:val="00AD1C29"/>
    <w:rsid w:val="00AD3976"/>
    <w:rsid w:val="00AE180D"/>
    <w:rsid w:val="00AE53F9"/>
    <w:rsid w:val="00AE633D"/>
    <w:rsid w:val="00AF01F9"/>
    <w:rsid w:val="00AF045E"/>
    <w:rsid w:val="00B11E17"/>
    <w:rsid w:val="00B12369"/>
    <w:rsid w:val="00B1758D"/>
    <w:rsid w:val="00B212A5"/>
    <w:rsid w:val="00B25CBA"/>
    <w:rsid w:val="00B32A86"/>
    <w:rsid w:val="00B40610"/>
    <w:rsid w:val="00B464A7"/>
    <w:rsid w:val="00B46DE1"/>
    <w:rsid w:val="00B474E4"/>
    <w:rsid w:val="00B666B9"/>
    <w:rsid w:val="00B758A0"/>
    <w:rsid w:val="00B85B55"/>
    <w:rsid w:val="00B921CC"/>
    <w:rsid w:val="00BA7B70"/>
    <w:rsid w:val="00BB286E"/>
    <w:rsid w:val="00BB3848"/>
    <w:rsid w:val="00BB73BF"/>
    <w:rsid w:val="00BC0D26"/>
    <w:rsid w:val="00BC4052"/>
    <w:rsid w:val="00BD370B"/>
    <w:rsid w:val="00BD5AAA"/>
    <w:rsid w:val="00BD640B"/>
    <w:rsid w:val="00BF1952"/>
    <w:rsid w:val="00BF3039"/>
    <w:rsid w:val="00BF5CD7"/>
    <w:rsid w:val="00BF7638"/>
    <w:rsid w:val="00C140EA"/>
    <w:rsid w:val="00C1570E"/>
    <w:rsid w:val="00C17A88"/>
    <w:rsid w:val="00C17F8A"/>
    <w:rsid w:val="00C35E7D"/>
    <w:rsid w:val="00C50606"/>
    <w:rsid w:val="00C518E3"/>
    <w:rsid w:val="00C5563F"/>
    <w:rsid w:val="00C60FE0"/>
    <w:rsid w:val="00C61920"/>
    <w:rsid w:val="00C62108"/>
    <w:rsid w:val="00C67258"/>
    <w:rsid w:val="00C7152D"/>
    <w:rsid w:val="00C7590A"/>
    <w:rsid w:val="00C80F35"/>
    <w:rsid w:val="00C917F4"/>
    <w:rsid w:val="00C91F4B"/>
    <w:rsid w:val="00C92966"/>
    <w:rsid w:val="00C930E3"/>
    <w:rsid w:val="00C944E9"/>
    <w:rsid w:val="00CA2ACF"/>
    <w:rsid w:val="00CA3565"/>
    <w:rsid w:val="00CA47F4"/>
    <w:rsid w:val="00CA6AD3"/>
    <w:rsid w:val="00CB2F77"/>
    <w:rsid w:val="00CC08F0"/>
    <w:rsid w:val="00CC5D9F"/>
    <w:rsid w:val="00CD76B7"/>
    <w:rsid w:val="00CE242F"/>
    <w:rsid w:val="00CE4BB4"/>
    <w:rsid w:val="00CF32E0"/>
    <w:rsid w:val="00D15CAB"/>
    <w:rsid w:val="00D17985"/>
    <w:rsid w:val="00D267F5"/>
    <w:rsid w:val="00D36B59"/>
    <w:rsid w:val="00D67A8B"/>
    <w:rsid w:val="00D70604"/>
    <w:rsid w:val="00D73AFA"/>
    <w:rsid w:val="00D97F0D"/>
    <w:rsid w:val="00DA1C12"/>
    <w:rsid w:val="00DA1D1D"/>
    <w:rsid w:val="00DB5D78"/>
    <w:rsid w:val="00DB621C"/>
    <w:rsid w:val="00DB65CB"/>
    <w:rsid w:val="00DC15C5"/>
    <w:rsid w:val="00DF5408"/>
    <w:rsid w:val="00DF6B02"/>
    <w:rsid w:val="00E07A76"/>
    <w:rsid w:val="00E16140"/>
    <w:rsid w:val="00E3289F"/>
    <w:rsid w:val="00E44FBF"/>
    <w:rsid w:val="00E52B2C"/>
    <w:rsid w:val="00E579BB"/>
    <w:rsid w:val="00E60F47"/>
    <w:rsid w:val="00E62EB7"/>
    <w:rsid w:val="00E66BCF"/>
    <w:rsid w:val="00E67629"/>
    <w:rsid w:val="00E753DB"/>
    <w:rsid w:val="00E824A9"/>
    <w:rsid w:val="00E8365F"/>
    <w:rsid w:val="00E85CD8"/>
    <w:rsid w:val="00E94B09"/>
    <w:rsid w:val="00E96C67"/>
    <w:rsid w:val="00EA27CC"/>
    <w:rsid w:val="00EB3E20"/>
    <w:rsid w:val="00EC4EED"/>
    <w:rsid w:val="00EC5AFF"/>
    <w:rsid w:val="00EC6649"/>
    <w:rsid w:val="00ED069B"/>
    <w:rsid w:val="00EE6B0B"/>
    <w:rsid w:val="00EF4855"/>
    <w:rsid w:val="00F01072"/>
    <w:rsid w:val="00F23534"/>
    <w:rsid w:val="00F24CB8"/>
    <w:rsid w:val="00F26B4D"/>
    <w:rsid w:val="00F30C0A"/>
    <w:rsid w:val="00F47180"/>
    <w:rsid w:val="00F50E81"/>
    <w:rsid w:val="00F528F6"/>
    <w:rsid w:val="00F63B2F"/>
    <w:rsid w:val="00F65D82"/>
    <w:rsid w:val="00F66D84"/>
    <w:rsid w:val="00F73206"/>
    <w:rsid w:val="00F82198"/>
    <w:rsid w:val="00F84B06"/>
    <w:rsid w:val="00F87279"/>
    <w:rsid w:val="00FA4DCF"/>
    <w:rsid w:val="00FB1AEC"/>
    <w:rsid w:val="00FC7539"/>
    <w:rsid w:val="00FD009C"/>
    <w:rsid w:val="00FD33B8"/>
    <w:rsid w:val="00FD657B"/>
    <w:rsid w:val="00FF26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D987"/>
  <w15:chartTrackingRefBased/>
  <w15:docId w15:val="{9CAE854B-37CD-47A8-B60F-E0BFC290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58"/>
  </w:style>
  <w:style w:type="paragraph" w:styleId="Heading1">
    <w:name w:val="heading 1"/>
    <w:basedOn w:val="Normal"/>
    <w:next w:val="Normal"/>
    <w:link w:val="Heading1Char"/>
    <w:autoRedefine/>
    <w:uiPriority w:val="9"/>
    <w:qFormat/>
    <w:rsid w:val="0031371B"/>
    <w:pPr>
      <w:keepNext/>
      <w:keepLines/>
      <w:shd w:val="clear" w:color="auto" w:fill="92D050"/>
      <w:spacing w:before="240" w:after="0"/>
      <w:ind w:left="-90"/>
      <w:outlineLvl w:val="0"/>
    </w:pPr>
    <w:rPr>
      <w:rFonts w:ascii="Antique Olive Compact" w:eastAsiaTheme="majorEastAsia" w:hAnsi="Antique Olive Compact" w:cstheme="majorBidi"/>
      <w:color w:val="385623" w:themeColor="accent6" w:themeShade="80"/>
      <w:sz w:val="28"/>
      <w:szCs w:val="32"/>
    </w:rPr>
  </w:style>
  <w:style w:type="paragraph" w:styleId="Heading2">
    <w:name w:val="heading 2"/>
    <w:basedOn w:val="Normal"/>
    <w:next w:val="Normal"/>
    <w:link w:val="Heading2Char"/>
    <w:autoRedefine/>
    <w:uiPriority w:val="9"/>
    <w:unhideWhenUsed/>
    <w:qFormat/>
    <w:rsid w:val="00312C74"/>
    <w:pPr>
      <w:keepNext/>
      <w:keepLines/>
      <w:shd w:val="clear" w:color="auto" w:fill="92D050"/>
      <w:spacing w:before="40" w:after="0"/>
      <w:jc w:val="both"/>
      <w:outlineLvl w:val="1"/>
    </w:pPr>
    <w:rPr>
      <w:rFonts w:ascii="Arial" w:eastAsiaTheme="majorEastAsia" w:hAnsi="Arial" w:cs="Arial"/>
      <w:b/>
      <w:noProof/>
      <w:color w:val="385623" w:themeColor="accent6" w:themeShade="80"/>
      <w:sz w:val="28"/>
      <w:szCs w:val="26"/>
      <w:shd w:val="clear" w:color="auto" w:fill="92D050"/>
      <w:lang w:eastAsia="en-ZA"/>
    </w:rPr>
  </w:style>
  <w:style w:type="paragraph" w:styleId="Heading3">
    <w:name w:val="heading 3"/>
    <w:basedOn w:val="Normal"/>
    <w:next w:val="Normal"/>
    <w:link w:val="Heading3Char"/>
    <w:autoRedefine/>
    <w:uiPriority w:val="9"/>
    <w:unhideWhenUsed/>
    <w:qFormat/>
    <w:rsid w:val="00080DA7"/>
    <w:pPr>
      <w:keepNext/>
      <w:keepLines/>
      <w:shd w:val="clear" w:color="auto" w:fill="92D050"/>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E16140"/>
    <w:pPr>
      <w:keepNext/>
      <w:spacing w:before="240" w:after="60" w:line="240" w:lineRule="auto"/>
      <w:outlineLvl w:val="3"/>
    </w:pPr>
    <w:rPr>
      <w:rFonts w:ascii="Calibri" w:eastAsia="Times New Roman" w:hAnsi="Calibri" w:cs="Times New Roman"/>
      <w:b/>
      <w:bCs/>
      <w:sz w:val="28"/>
      <w:szCs w:val="28"/>
      <w:lang w:val="en-US"/>
    </w:rPr>
  </w:style>
  <w:style w:type="paragraph" w:styleId="Heading7">
    <w:name w:val="heading 7"/>
    <w:basedOn w:val="Normal"/>
    <w:next w:val="Normal"/>
    <w:link w:val="Heading7Char"/>
    <w:semiHidden/>
    <w:unhideWhenUsed/>
    <w:qFormat/>
    <w:rsid w:val="00E16140"/>
    <w:pPr>
      <w:keepNext/>
      <w:spacing w:after="0" w:line="240" w:lineRule="auto"/>
      <w:jc w:val="center"/>
      <w:outlineLvl w:val="6"/>
    </w:pPr>
    <w:rPr>
      <w:rFonts w:ascii="Comic Sans MS" w:eastAsia="Times New Roman" w:hAnsi="Comic Sans MS" w:cs="Times New Roman"/>
      <w:i/>
      <w:iCs/>
      <w:sz w:val="5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71B"/>
    <w:rPr>
      <w:rFonts w:ascii="Antique Olive Compact" w:eastAsiaTheme="majorEastAsia" w:hAnsi="Antique Olive Compact" w:cstheme="majorBidi"/>
      <w:color w:val="385623" w:themeColor="accent6" w:themeShade="80"/>
      <w:sz w:val="28"/>
      <w:szCs w:val="32"/>
      <w:shd w:val="clear" w:color="auto" w:fill="92D050"/>
    </w:rPr>
  </w:style>
  <w:style w:type="paragraph" w:styleId="IntenseQuote">
    <w:name w:val="Intense Quote"/>
    <w:basedOn w:val="Normal"/>
    <w:next w:val="Normal"/>
    <w:link w:val="IntenseQuoteChar"/>
    <w:uiPriority w:val="30"/>
    <w:qFormat/>
    <w:rsid w:val="00FD65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657B"/>
    <w:rPr>
      <w:i/>
      <w:iCs/>
      <w:color w:val="4472C4" w:themeColor="accent1"/>
    </w:rPr>
  </w:style>
  <w:style w:type="character" w:styleId="BookTitle">
    <w:name w:val="Book Title"/>
    <w:basedOn w:val="DefaultParagraphFont"/>
    <w:uiPriority w:val="33"/>
    <w:qFormat/>
    <w:rsid w:val="00FD657B"/>
    <w:rPr>
      <w:b/>
      <w:bCs/>
      <w:i/>
      <w:iCs/>
      <w:spacing w:val="5"/>
    </w:rPr>
  </w:style>
  <w:style w:type="paragraph" w:styleId="ListParagraph">
    <w:name w:val="List Paragraph"/>
    <w:aliases w:val="List Paragraph1,Bullet List Paragraph,Use Case List Paragraph,Ref,List Paragraph11,List Paragraph111,FooterText,numbered,Paragraphe de liste,Normal Sentence,b1,Figure_name,List Paragraph Option,Bulleted List1,lp1,List Paragraph2,List1"/>
    <w:basedOn w:val="Normal"/>
    <w:link w:val="ListParagraphChar"/>
    <w:uiPriority w:val="34"/>
    <w:qFormat/>
    <w:rsid w:val="00B85B55"/>
    <w:pPr>
      <w:ind w:left="720"/>
      <w:contextualSpacing/>
    </w:pPr>
  </w:style>
  <w:style w:type="character" w:customStyle="1" w:styleId="Heading2Char">
    <w:name w:val="Heading 2 Char"/>
    <w:basedOn w:val="DefaultParagraphFont"/>
    <w:link w:val="Heading2"/>
    <w:uiPriority w:val="9"/>
    <w:rsid w:val="00312C74"/>
    <w:rPr>
      <w:rFonts w:ascii="Arial" w:eastAsiaTheme="majorEastAsia" w:hAnsi="Arial" w:cs="Arial"/>
      <w:b/>
      <w:noProof/>
      <w:color w:val="385623" w:themeColor="accent6" w:themeShade="80"/>
      <w:sz w:val="28"/>
      <w:szCs w:val="26"/>
      <w:shd w:val="clear" w:color="auto" w:fill="92D050"/>
      <w:lang w:eastAsia="en-ZA"/>
    </w:rPr>
  </w:style>
  <w:style w:type="character" w:styleId="Emphasis">
    <w:name w:val="Emphasis"/>
    <w:basedOn w:val="DefaultParagraphFont"/>
    <w:uiPriority w:val="20"/>
    <w:qFormat/>
    <w:rsid w:val="00A43BAA"/>
    <w:rPr>
      <w:i/>
      <w:iCs/>
    </w:rPr>
  </w:style>
  <w:style w:type="paragraph" w:styleId="Header">
    <w:name w:val="header"/>
    <w:basedOn w:val="Normal"/>
    <w:link w:val="HeaderChar"/>
    <w:uiPriority w:val="99"/>
    <w:unhideWhenUsed/>
    <w:rsid w:val="00C14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0EA"/>
  </w:style>
  <w:style w:type="paragraph" w:styleId="Footer">
    <w:name w:val="footer"/>
    <w:basedOn w:val="Normal"/>
    <w:link w:val="FooterChar"/>
    <w:uiPriority w:val="99"/>
    <w:unhideWhenUsed/>
    <w:rsid w:val="00C14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0EA"/>
  </w:style>
  <w:style w:type="table" w:styleId="TableGrid">
    <w:name w:val="Table Grid"/>
    <w:basedOn w:val="TableNormal"/>
    <w:uiPriority w:val="39"/>
    <w:rsid w:val="008A2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6B4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8E6B47"/>
    <w:rPr>
      <w:rFonts w:ascii="Segoe UI" w:hAnsi="Segoe UI" w:cs="Segoe UI" w:hint="default"/>
      <w:b/>
      <w:bCs/>
      <w:color w:val="262626"/>
      <w:sz w:val="28"/>
      <w:szCs w:val="28"/>
    </w:rPr>
  </w:style>
  <w:style w:type="character" w:customStyle="1" w:styleId="NoSpacingChar">
    <w:name w:val="No Spacing Char"/>
    <w:link w:val="NoSpacing"/>
    <w:uiPriority w:val="1"/>
    <w:locked/>
    <w:rsid w:val="00010342"/>
    <w:rPr>
      <w:rFonts w:ascii="Calibri" w:hAnsi="Calibri" w:cs="Calibri"/>
      <w:lang w:val="en-US"/>
    </w:rPr>
  </w:style>
  <w:style w:type="paragraph" w:styleId="NoSpacing">
    <w:name w:val="No Spacing"/>
    <w:link w:val="NoSpacingChar"/>
    <w:uiPriority w:val="99"/>
    <w:qFormat/>
    <w:rsid w:val="00010342"/>
    <w:pPr>
      <w:spacing w:after="0" w:line="240" w:lineRule="auto"/>
    </w:pPr>
    <w:rPr>
      <w:rFonts w:ascii="Calibri" w:hAnsi="Calibri" w:cs="Calibri"/>
      <w:lang w:val="en-US"/>
    </w:rPr>
  </w:style>
  <w:style w:type="character" w:customStyle="1" w:styleId="ListParagraphChar">
    <w:name w:val="List Paragraph Char"/>
    <w:aliases w:val="List Paragraph1 Char,Bullet List Paragraph Char,Use Case List Paragraph Char,Ref Char,List Paragraph11 Char,List Paragraph111 Char,FooterText Char,numbered Char,Paragraphe de liste Char,Normal Sentence Char,b1 Char,Figure_name Char"/>
    <w:link w:val="ListParagraph"/>
    <w:uiPriority w:val="34"/>
    <w:locked/>
    <w:rsid w:val="00010342"/>
  </w:style>
  <w:style w:type="paragraph" w:styleId="TOCHeading">
    <w:name w:val="TOC Heading"/>
    <w:basedOn w:val="Heading1"/>
    <w:next w:val="Normal"/>
    <w:uiPriority w:val="39"/>
    <w:unhideWhenUsed/>
    <w:qFormat/>
    <w:rsid w:val="00A931D5"/>
    <w:pPr>
      <w:outlineLvl w:val="9"/>
    </w:pPr>
    <w:rPr>
      <w:lang w:val="en-US"/>
    </w:rPr>
  </w:style>
  <w:style w:type="paragraph" w:styleId="TOC1">
    <w:name w:val="toc 1"/>
    <w:basedOn w:val="Normal"/>
    <w:next w:val="Normal"/>
    <w:autoRedefine/>
    <w:uiPriority w:val="39"/>
    <w:unhideWhenUsed/>
    <w:rsid w:val="00A931D5"/>
    <w:pPr>
      <w:spacing w:after="100"/>
    </w:pPr>
  </w:style>
  <w:style w:type="paragraph" w:styleId="TOC2">
    <w:name w:val="toc 2"/>
    <w:basedOn w:val="Normal"/>
    <w:next w:val="Normal"/>
    <w:autoRedefine/>
    <w:uiPriority w:val="39"/>
    <w:unhideWhenUsed/>
    <w:rsid w:val="00A931D5"/>
    <w:pPr>
      <w:spacing w:after="100"/>
      <w:ind w:left="220"/>
    </w:pPr>
  </w:style>
  <w:style w:type="character" w:styleId="Hyperlink">
    <w:name w:val="Hyperlink"/>
    <w:basedOn w:val="DefaultParagraphFont"/>
    <w:uiPriority w:val="99"/>
    <w:unhideWhenUsed/>
    <w:rsid w:val="00A931D5"/>
    <w:rPr>
      <w:color w:val="0563C1" w:themeColor="hyperlink"/>
      <w:u w:val="single"/>
    </w:rPr>
  </w:style>
  <w:style w:type="paragraph" w:styleId="Revision">
    <w:name w:val="Revision"/>
    <w:hidden/>
    <w:uiPriority w:val="99"/>
    <w:semiHidden/>
    <w:rsid w:val="00267B3A"/>
    <w:pPr>
      <w:spacing w:after="0" w:line="240" w:lineRule="auto"/>
    </w:pPr>
  </w:style>
  <w:style w:type="paragraph" w:customStyle="1" w:styleId="Default">
    <w:name w:val="Default"/>
    <w:rsid w:val="008618E7"/>
    <w:pPr>
      <w:autoSpaceDE w:val="0"/>
      <w:autoSpaceDN w:val="0"/>
      <w:adjustRightInd w:val="0"/>
      <w:spacing w:after="0" w:line="240" w:lineRule="auto"/>
    </w:pPr>
    <w:rPr>
      <w:rFonts w:ascii="Arial" w:eastAsia="Calibri" w:hAnsi="Arial" w:cs="Arial"/>
      <w:color w:val="000000"/>
      <w:sz w:val="24"/>
      <w:szCs w:val="24"/>
      <w:lang w:eastAsia="en-ZA"/>
    </w:rPr>
  </w:style>
  <w:style w:type="character" w:customStyle="1" w:styleId="Heading4Char">
    <w:name w:val="Heading 4 Char"/>
    <w:basedOn w:val="DefaultParagraphFont"/>
    <w:link w:val="Heading4"/>
    <w:uiPriority w:val="9"/>
    <w:rsid w:val="00E16140"/>
    <w:rPr>
      <w:rFonts w:ascii="Calibri" w:eastAsia="Times New Roman" w:hAnsi="Calibri" w:cs="Times New Roman"/>
      <w:b/>
      <w:bCs/>
      <w:sz w:val="28"/>
      <w:szCs w:val="28"/>
      <w:lang w:val="en-US"/>
    </w:rPr>
  </w:style>
  <w:style w:type="character" w:customStyle="1" w:styleId="Heading7Char">
    <w:name w:val="Heading 7 Char"/>
    <w:basedOn w:val="DefaultParagraphFont"/>
    <w:link w:val="Heading7"/>
    <w:semiHidden/>
    <w:rsid w:val="00E16140"/>
    <w:rPr>
      <w:rFonts w:ascii="Comic Sans MS" w:eastAsia="Times New Roman" w:hAnsi="Comic Sans MS" w:cs="Times New Roman"/>
      <w:i/>
      <w:iCs/>
      <w:sz w:val="52"/>
      <w:szCs w:val="20"/>
      <w:lang w:val="en-US"/>
    </w:rPr>
  </w:style>
  <w:style w:type="character" w:customStyle="1" w:styleId="BalloonTextChar">
    <w:name w:val="Balloon Text Char"/>
    <w:basedOn w:val="DefaultParagraphFont"/>
    <w:link w:val="BalloonText"/>
    <w:uiPriority w:val="99"/>
    <w:semiHidden/>
    <w:rsid w:val="00E16140"/>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E16140"/>
    <w:pPr>
      <w:spacing w:after="0" w:line="240" w:lineRule="auto"/>
    </w:pPr>
    <w:rPr>
      <w:rFonts w:ascii="Tahoma" w:eastAsia="Times New Roman" w:hAnsi="Tahoma" w:cs="Tahoma"/>
      <w:sz w:val="16"/>
      <w:szCs w:val="16"/>
      <w:lang w:val="en-US"/>
    </w:rPr>
  </w:style>
  <w:style w:type="character" w:customStyle="1" w:styleId="BalloonTextChar1">
    <w:name w:val="Balloon Text Char1"/>
    <w:basedOn w:val="DefaultParagraphFont"/>
    <w:uiPriority w:val="99"/>
    <w:semiHidden/>
    <w:rsid w:val="00E16140"/>
    <w:rPr>
      <w:rFonts w:ascii="Segoe UI" w:hAnsi="Segoe UI" w:cs="Segoe UI"/>
      <w:sz w:val="18"/>
      <w:szCs w:val="18"/>
    </w:rPr>
  </w:style>
  <w:style w:type="paragraph" w:customStyle="1" w:styleId="MariNCHeading1">
    <w:name w:val="Mari NC Heading 1"/>
    <w:basedOn w:val="Normal"/>
    <w:link w:val="MariNCHeading1Char"/>
    <w:qFormat/>
    <w:rsid w:val="00E16140"/>
    <w:pPr>
      <w:pBdr>
        <w:bottom w:val="single" w:sz="12" w:space="1" w:color="548DD4"/>
      </w:pBdr>
      <w:spacing w:after="0" w:line="276" w:lineRule="auto"/>
      <w:jc w:val="center"/>
      <w:outlineLvl w:val="0"/>
    </w:pPr>
    <w:rPr>
      <w:rFonts w:ascii="Cambria" w:eastAsia="Calibri" w:hAnsi="Cambria" w:cs="Times New Roman"/>
      <w:b/>
      <w:caps/>
      <w:sz w:val="28"/>
    </w:rPr>
  </w:style>
  <w:style w:type="character" w:customStyle="1" w:styleId="MariNCHeading1Char">
    <w:name w:val="Mari NC Heading 1 Char"/>
    <w:link w:val="MariNCHeading1"/>
    <w:rsid w:val="00E16140"/>
    <w:rPr>
      <w:rFonts w:ascii="Cambria" w:eastAsia="Calibri" w:hAnsi="Cambria" w:cs="Times New Roman"/>
      <w:b/>
      <w:caps/>
      <w:sz w:val="28"/>
    </w:rPr>
  </w:style>
  <w:style w:type="paragraph" w:styleId="BodyText2">
    <w:name w:val="Body Text 2"/>
    <w:basedOn w:val="Normal"/>
    <w:link w:val="BodyText2Char"/>
    <w:rsid w:val="00E16140"/>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rsid w:val="00E16140"/>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unhideWhenUsed/>
    <w:rsid w:val="00E16140"/>
    <w:pPr>
      <w:spacing w:before="200" w:after="120" w:line="276" w:lineRule="auto"/>
      <w:ind w:left="283"/>
    </w:pPr>
    <w:rPr>
      <w:rFonts w:ascii="Calibri" w:eastAsia="Times New Roman" w:hAnsi="Calibri" w:cs="Times New Roman"/>
      <w:sz w:val="20"/>
      <w:szCs w:val="20"/>
      <w:lang w:val="en-US" w:bidi="en-US"/>
    </w:rPr>
  </w:style>
  <w:style w:type="character" w:customStyle="1" w:styleId="BodyTextIndentChar">
    <w:name w:val="Body Text Indent Char"/>
    <w:basedOn w:val="DefaultParagraphFont"/>
    <w:link w:val="BodyTextIndent"/>
    <w:uiPriority w:val="99"/>
    <w:rsid w:val="00E16140"/>
    <w:rPr>
      <w:rFonts w:ascii="Calibri" w:eastAsia="Times New Roman" w:hAnsi="Calibri" w:cs="Times New Roman"/>
      <w:sz w:val="20"/>
      <w:szCs w:val="20"/>
      <w:lang w:val="en-US" w:bidi="en-US"/>
    </w:rPr>
  </w:style>
  <w:style w:type="character" w:customStyle="1" w:styleId="muted">
    <w:name w:val="muted"/>
    <w:basedOn w:val="DefaultParagraphFont"/>
    <w:rsid w:val="00E16140"/>
  </w:style>
  <w:style w:type="character" w:styleId="Strong">
    <w:name w:val="Strong"/>
    <w:uiPriority w:val="22"/>
    <w:qFormat/>
    <w:rsid w:val="00E16140"/>
    <w:rPr>
      <w:b/>
      <w:bCs/>
    </w:rPr>
  </w:style>
  <w:style w:type="paragraph" w:customStyle="1" w:styleId="ZTitle1">
    <w:name w:val="ZTitle1"/>
    <w:basedOn w:val="Normal"/>
    <w:rsid w:val="00E16140"/>
    <w:pPr>
      <w:spacing w:before="140" w:after="0" w:line="280" w:lineRule="atLeast"/>
    </w:pPr>
    <w:rPr>
      <w:rFonts w:ascii="Arial" w:eastAsia="Calibri" w:hAnsi="Arial" w:cs="Arial"/>
      <w:b/>
      <w:bCs/>
      <w:sz w:val="48"/>
      <w:szCs w:val="48"/>
    </w:rPr>
  </w:style>
  <w:style w:type="paragraph" w:styleId="PlainText">
    <w:name w:val="Plain Text"/>
    <w:basedOn w:val="Normal"/>
    <w:link w:val="PlainTextChar"/>
    <w:uiPriority w:val="99"/>
    <w:unhideWhenUsed/>
    <w:rsid w:val="00E1614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E16140"/>
    <w:rPr>
      <w:rFonts w:ascii="Calibri" w:eastAsia="Calibri" w:hAnsi="Calibri" w:cs="Times New Roman"/>
      <w:szCs w:val="21"/>
    </w:rPr>
  </w:style>
  <w:style w:type="character" w:customStyle="1" w:styleId="st">
    <w:name w:val="st"/>
    <w:basedOn w:val="DefaultParagraphFont"/>
    <w:rsid w:val="00E16140"/>
  </w:style>
  <w:style w:type="paragraph" w:styleId="Title">
    <w:name w:val="Title"/>
    <w:basedOn w:val="Normal"/>
    <w:link w:val="TitleChar"/>
    <w:uiPriority w:val="10"/>
    <w:qFormat/>
    <w:rsid w:val="00E16140"/>
    <w:pPr>
      <w:spacing w:after="0" w:line="240" w:lineRule="auto"/>
      <w:jc w:val="center"/>
    </w:pPr>
    <w:rPr>
      <w:rFonts w:ascii="Tahoma" w:eastAsia="Calibri" w:hAnsi="Tahoma" w:cs="Tahoma"/>
      <w:b/>
      <w:bCs/>
      <w:sz w:val="40"/>
      <w:szCs w:val="40"/>
      <w:lang w:eastAsia="x-none"/>
    </w:rPr>
  </w:style>
  <w:style w:type="character" w:customStyle="1" w:styleId="TitleChar">
    <w:name w:val="Title Char"/>
    <w:basedOn w:val="DefaultParagraphFont"/>
    <w:link w:val="Title"/>
    <w:uiPriority w:val="10"/>
    <w:rsid w:val="00E16140"/>
    <w:rPr>
      <w:rFonts w:ascii="Tahoma" w:eastAsia="Calibri" w:hAnsi="Tahoma" w:cs="Tahoma"/>
      <w:b/>
      <w:bCs/>
      <w:sz w:val="40"/>
      <w:szCs w:val="40"/>
      <w:lang w:eastAsia="x-none"/>
    </w:rPr>
  </w:style>
  <w:style w:type="paragraph" w:customStyle="1" w:styleId="xl70">
    <w:name w:val="xl70"/>
    <w:basedOn w:val="Normal"/>
    <w:rsid w:val="00E16140"/>
    <w:pPr>
      <w:pBdr>
        <w:bottom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n-ZA"/>
    </w:rPr>
  </w:style>
  <w:style w:type="paragraph" w:customStyle="1" w:styleId="xl71">
    <w:name w:val="xl71"/>
    <w:basedOn w:val="Normal"/>
    <w:rsid w:val="00E16140"/>
    <w:pP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72">
    <w:name w:val="xl72"/>
    <w:basedOn w:val="Normal"/>
    <w:rsid w:val="00E16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73">
    <w:name w:val="xl73"/>
    <w:basedOn w:val="Normal"/>
    <w:rsid w:val="00E16140"/>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lang w:eastAsia="en-ZA"/>
    </w:rPr>
  </w:style>
  <w:style w:type="paragraph" w:customStyle="1" w:styleId="xl74">
    <w:name w:val="xl74"/>
    <w:basedOn w:val="Normal"/>
    <w:rsid w:val="00E16140"/>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6"/>
      <w:szCs w:val="16"/>
      <w:lang w:eastAsia="en-ZA"/>
    </w:rPr>
  </w:style>
  <w:style w:type="paragraph" w:customStyle="1" w:styleId="xl75">
    <w:name w:val="xl75"/>
    <w:basedOn w:val="Normal"/>
    <w:rsid w:val="00E16140"/>
    <w:pP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76">
    <w:name w:val="xl76"/>
    <w:basedOn w:val="Normal"/>
    <w:rsid w:val="00E1614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77">
    <w:name w:val="xl77"/>
    <w:basedOn w:val="Normal"/>
    <w:rsid w:val="00E16140"/>
    <w:pPr>
      <w:pBdr>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78">
    <w:name w:val="xl78"/>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79">
    <w:name w:val="xl79"/>
    <w:basedOn w:val="Normal"/>
    <w:rsid w:val="00E16140"/>
    <w:pP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0">
    <w:name w:val="xl80"/>
    <w:basedOn w:val="Normal"/>
    <w:rsid w:val="00E1614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1">
    <w:name w:val="xl81"/>
    <w:basedOn w:val="Normal"/>
    <w:rsid w:val="00E16140"/>
    <w:pPr>
      <w:pBdr>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2">
    <w:name w:val="xl82"/>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3">
    <w:name w:val="xl83"/>
    <w:basedOn w:val="Normal"/>
    <w:rsid w:val="00E16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6"/>
      <w:szCs w:val="16"/>
      <w:lang w:eastAsia="en-ZA"/>
    </w:rPr>
  </w:style>
  <w:style w:type="paragraph" w:customStyle="1" w:styleId="xl84">
    <w:name w:val="xl84"/>
    <w:basedOn w:val="Normal"/>
    <w:rsid w:val="00E16140"/>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5">
    <w:name w:val="xl85"/>
    <w:basedOn w:val="Normal"/>
    <w:rsid w:val="00E1614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6">
    <w:name w:val="xl86"/>
    <w:basedOn w:val="Normal"/>
    <w:rsid w:val="00E16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7">
    <w:name w:val="xl87"/>
    <w:basedOn w:val="Normal"/>
    <w:rsid w:val="00E16140"/>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88">
    <w:name w:val="xl88"/>
    <w:basedOn w:val="Normal"/>
    <w:rsid w:val="00E16140"/>
    <w:pPr>
      <w:spacing w:before="100" w:beforeAutospacing="1" w:after="100" w:afterAutospacing="1" w:line="240" w:lineRule="auto"/>
      <w:jc w:val="center"/>
    </w:pPr>
    <w:rPr>
      <w:rFonts w:ascii="Arial Narrow" w:eastAsia="Times New Roman" w:hAnsi="Arial Narrow" w:cs="Times New Roman"/>
      <w:sz w:val="16"/>
      <w:szCs w:val="16"/>
      <w:lang w:eastAsia="en-ZA"/>
    </w:rPr>
  </w:style>
  <w:style w:type="paragraph" w:customStyle="1" w:styleId="xl89">
    <w:name w:val="xl89"/>
    <w:basedOn w:val="Normal"/>
    <w:rsid w:val="00E16140"/>
    <w:pPr>
      <w:pBdr>
        <w:bottom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90">
    <w:name w:val="xl90"/>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b/>
      <w:bCs/>
      <w:sz w:val="16"/>
      <w:szCs w:val="16"/>
      <w:u w:val="single"/>
      <w:lang w:eastAsia="en-ZA"/>
    </w:rPr>
  </w:style>
  <w:style w:type="paragraph" w:customStyle="1" w:styleId="xl91">
    <w:name w:val="xl91"/>
    <w:basedOn w:val="Normal"/>
    <w:rsid w:val="00E16140"/>
    <w:pPr>
      <w:pBdr>
        <w:left w:val="single" w:sz="4" w:space="9" w:color="auto"/>
      </w:pBdr>
      <w:spacing w:before="100" w:beforeAutospacing="1" w:after="100" w:afterAutospacing="1" w:line="240" w:lineRule="auto"/>
      <w:ind w:firstLineChars="100" w:firstLine="100"/>
    </w:pPr>
    <w:rPr>
      <w:rFonts w:ascii="Arial Narrow" w:eastAsia="Times New Roman" w:hAnsi="Arial Narrow" w:cs="Times New Roman"/>
      <w:sz w:val="16"/>
      <w:szCs w:val="16"/>
      <w:lang w:eastAsia="en-ZA"/>
    </w:rPr>
  </w:style>
  <w:style w:type="paragraph" w:customStyle="1" w:styleId="xl92">
    <w:name w:val="xl92"/>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93">
    <w:name w:val="xl93"/>
    <w:basedOn w:val="Normal"/>
    <w:rsid w:val="00E1614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94">
    <w:name w:val="xl94"/>
    <w:basedOn w:val="Normal"/>
    <w:rsid w:val="00E16140"/>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95">
    <w:name w:val="xl95"/>
    <w:basedOn w:val="Normal"/>
    <w:rsid w:val="00E16140"/>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96">
    <w:name w:val="xl96"/>
    <w:basedOn w:val="Normal"/>
    <w:rsid w:val="00E16140"/>
    <w:pPr>
      <w:pBdr>
        <w:top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97">
    <w:name w:val="xl97"/>
    <w:basedOn w:val="Normal"/>
    <w:rsid w:val="00E16140"/>
    <w:pPr>
      <w:pBdr>
        <w:top w:val="single" w:sz="4" w:space="0" w:color="auto"/>
        <w:lef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98">
    <w:name w:val="xl98"/>
    <w:basedOn w:val="Normal"/>
    <w:rsid w:val="00E16140"/>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99">
    <w:name w:val="xl99"/>
    <w:basedOn w:val="Normal"/>
    <w:rsid w:val="00E16140"/>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100">
    <w:name w:val="xl100"/>
    <w:basedOn w:val="Normal"/>
    <w:rsid w:val="00E16140"/>
    <w:pP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101">
    <w:name w:val="xl101"/>
    <w:basedOn w:val="Normal"/>
    <w:rsid w:val="00E16140"/>
    <w:pPr>
      <w:pBdr>
        <w:lef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102">
    <w:name w:val="xl102"/>
    <w:basedOn w:val="Normal"/>
    <w:rsid w:val="00E16140"/>
    <w:pPr>
      <w:pBdr>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en-ZA"/>
    </w:rPr>
  </w:style>
  <w:style w:type="paragraph" w:customStyle="1" w:styleId="xl103">
    <w:name w:val="xl103"/>
    <w:basedOn w:val="Normal"/>
    <w:rsid w:val="00E161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04">
    <w:name w:val="xl104"/>
    <w:basedOn w:val="Normal"/>
    <w:rsid w:val="00E16140"/>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05">
    <w:name w:val="xl105"/>
    <w:basedOn w:val="Normal"/>
    <w:rsid w:val="00E161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lang w:eastAsia="en-ZA"/>
    </w:rPr>
  </w:style>
  <w:style w:type="paragraph" w:customStyle="1" w:styleId="xl106">
    <w:name w:val="xl106"/>
    <w:basedOn w:val="Normal"/>
    <w:rsid w:val="00E16140"/>
    <w:pP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07">
    <w:name w:val="xl107"/>
    <w:basedOn w:val="Normal"/>
    <w:rsid w:val="00E16140"/>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6"/>
      <w:szCs w:val="16"/>
      <w:lang w:eastAsia="en-ZA"/>
    </w:rPr>
  </w:style>
  <w:style w:type="paragraph" w:customStyle="1" w:styleId="xl108">
    <w:name w:val="xl108"/>
    <w:basedOn w:val="Normal"/>
    <w:rsid w:val="00E161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09">
    <w:name w:val="xl109"/>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i/>
      <w:iCs/>
      <w:sz w:val="16"/>
      <w:szCs w:val="16"/>
      <w:lang w:eastAsia="en-ZA"/>
    </w:rPr>
  </w:style>
  <w:style w:type="paragraph" w:customStyle="1" w:styleId="xl110">
    <w:name w:val="xl110"/>
    <w:basedOn w:val="Normal"/>
    <w:rsid w:val="00E16140"/>
    <w:pPr>
      <w:pBdr>
        <w:top w:val="single" w:sz="4" w:space="0" w:color="auto"/>
        <w:left w:val="single" w:sz="4" w:space="0" w:color="auto"/>
      </w:pBdr>
      <w:spacing w:before="100" w:beforeAutospacing="1" w:after="100" w:afterAutospacing="1" w:line="240" w:lineRule="auto"/>
    </w:pPr>
    <w:rPr>
      <w:rFonts w:ascii="Arial Narrow" w:eastAsia="Times New Roman" w:hAnsi="Arial Narrow" w:cs="Times New Roman"/>
      <w:b/>
      <w:bCs/>
      <w:sz w:val="16"/>
      <w:szCs w:val="16"/>
      <w:u w:val="single"/>
      <w:lang w:eastAsia="en-ZA"/>
    </w:rPr>
  </w:style>
  <w:style w:type="paragraph" w:customStyle="1" w:styleId="xl111">
    <w:name w:val="xl111"/>
    <w:basedOn w:val="Normal"/>
    <w:rsid w:val="00E161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12">
    <w:name w:val="xl112"/>
    <w:basedOn w:val="Normal"/>
    <w:rsid w:val="00E161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13">
    <w:name w:val="xl113"/>
    <w:basedOn w:val="Normal"/>
    <w:rsid w:val="00E16140"/>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14">
    <w:name w:val="xl114"/>
    <w:basedOn w:val="Normal"/>
    <w:rsid w:val="00E16140"/>
    <w:pPr>
      <w:spacing w:before="100" w:beforeAutospacing="1" w:after="100" w:afterAutospacing="1" w:line="240" w:lineRule="auto"/>
      <w:jc w:val="center"/>
    </w:pPr>
    <w:rPr>
      <w:rFonts w:ascii="Arial Narrow" w:eastAsia="Times New Roman" w:hAnsi="Arial Narrow" w:cs="Times New Roman"/>
      <w:sz w:val="16"/>
      <w:szCs w:val="16"/>
      <w:lang w:eastAsia="en-ZA"/>
    </w:rPr>
  </w:style>
  <w:style w:type="paragraph" w:customStyle="1" w:styleId="xl115">
    <w:name w:val="xl115"/>
    <w:basedOn w:val="Normal"/>
    <w:rsid w:val="00E16140"/>
    <w:pPr>
      <w:spacing w:before="100" w:beforeAutospacing="1" w:after="100" w:afterAutospacing="1" w:line="240" w:lineRule="auto"/>
    </w:pPr>
    <w:rPr>
      <w:rFonts w:ascii="Arial Narrow" w:eastAsia="Times New Roman" w:hAnsi="Arial Narrow" w:cs="Times New Roman"/>
      <w:b/>
      <w:bCs/>
      <w:sz w:val="16"/>
      <w:szCs w:val="16"/>
      <w:lang w:eastAsia="en-ZA"/>
    </w:rPr>
  </w:style>
  <w:style w:type="paragraph" w:customStyle="1" w:styleId="xl116">
    <w:name w:val="xl116"/>
    <w:basedOn w:val="Normal"/>
    <w:rsid w:val="00E1614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17">
    <w:name w:val="xl117"/>
    <w:basedOn w:val="Normal"/>
    <w:rsid w:val="00E1614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18">
    <w:name w:val="xl118"/>
    <w:basedOn w:val="Normal"/>
    <w:rsid w:val="00E1614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19">
    <w:name w:val="xl119"/>
    <w:basedOn w:val="Normal"/>
    <w:rsid w:val="00E1614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0">
    <w:name w:val="xl120"/>
    <w:basedOn w:val="Normal"/>
    <w:rsid w:val="00E1614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1">
    <w:name w:val="xl121"/>
    <w:basedOn w:val="Normal"/>
    <w:rsid w:val="00E16140"/>
    <w:pPr>
      <w:spacing w:before="100" w:beforeAutospacing="1" w:after="100" w:afterAutospacing="1" w:line="240" w:lineRule="auto"/>
    </w:pPr>
    <w:rPr>
      <w:rFonts w:ascii="Arial Narrow" w:eastAsia="Times New Roman" w:hAnsi="Arial Narrow" w:cs="Times New Roman"/>
      <w:i/>
      <w:iCs/>
      <w:sz w:val="16"/>
      <w:szCs w:val="16"/>
      <w:u w:val="single"/>
      <w:lang w:eastAsia="en-ZA"/>
    </w:rPr>
  </w:style>
  <w:style w:type="paragraph" w:customStyle="1" w:styleId="xl122">
    <w:name w:val="xl122"/>
    <w:basedOn w:val="Normal"/>
    <w:rsid w:val="00E16140"/>
    <w:pPr>
      <w:pBdr>
        <w:left w:val="single" w:sz="4" w:space="18" w:color="auto"/>
      </w:pBdr>
      <w:spacing w:before="100" w:beforeAutospacing="1" w:after="100" w:afterAutospacing="1" w:line="240" w:lineRule="auto"/>
      <w:ind w:firstLineChars="200" w:firstLine="200"/>
    </w:pPr>
    <w:rPr>
      <w:rFonts w:ascii="Arial Narrow" w:eastAsia="Times New Roman" w:hAnsi="Arial Narrow" w:cs="Times New Roman"/>
      <w:i/>
      <w:iCs/>
      <w:sz w:val="16"/>
      <w:szCs w:val="16"/>
      <w:lang w:eastAsia="en-ZA"/>
    </w:rPr>
  </w:style>
  <w:style w:type="paragraph" w:customStyle="1" w:styleId="xl123">
    <w:name w:val="xl123"/>
    <w:basedOn w:val="Normal"/>
    <w:rsid w:val="00E16140"/>
    <w:pP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4">
    <w:name w:val="xl124"/>
    <w:basedOn w:val="Normal"/>
    <w:rsid w:val="00E16140"/>
    <w:pPr>
      <w:pBdr>
        <w:top w:val="single" w:sz="4" w:space="0" w:color="auto"/>
        <w:lef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5">
    <w:name w:val="xl125"/>
    <w:basedOn w:val="Normal"/>
    <w:rsid w:val="00E16140"/>
    <w:pPr>
      <w:pBdr>
        <w:left w:val="single" w:sz="4" w:space="0" w:color="auto"/>
      </w:pBdr>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6">
    <w:name w:val="xl126"/>
    <w:basedOn w:val="Normal"/>
    <w:rsid w:val="00E16140"/>
    <w:pPr>
      <w:spacing w:before="100" w:beforeAutospacing="1" w:after="100" w:afterAutospacing="1" w:line="240" w:lineRule="auto"/>
    </w:pPr>
    <w:rPr>
      <w:rFonts w:ascii="Arial" w:eastAsia="Times New Roman" w:hAnsi="Arial" w:cs="Arial"/>
      <w:sz w:val="24"/>
      <w:szCs w:val="24"/>
      <w:lang w:eastAsia="en-ZA"/>
    </w:rPr>
  </w:style>
  <w:style w:type="paragraph" w:customStyle="1" w:styleId="xl127">
    <w:name w:val="xl127"/>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8">
    <w:name w:val="xl128"/>
    <w:basedOn w:val="Normal"/>
    <w:rsid w:val="00E16140"/>
    <w:pPr>
      <w:pBdr>
        <w:lef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29">
    <w:name w:val="xl129"/>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30">
    <w:name w:val="xl130"/>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31">
    <w:name w:val="xl131"/>
    <w:basedOn w:val="Normal"/>
    <w:rsid w:val="00E16140"/>
    <w:pPr>
      <w:pBdr>
        <w:left w:val="single" w:sz="4" w:space="0" w:color="auto"/>
      </w:pBdr>
      <w:shd w:val="clear" w:color="000000" w:fill="FFFF99"/>
      <w:spacing w:before="100" w:beforeAutospacing="1" w:after="100" w:afterAutospacing="1" w:line="240" w:lineRule="auto"/>
    </w:pPr>
    <w:rPr>
      <w:rFonts w:ascii="Arial Narrow" w:eastAsia="Times New Roman" w:hAnsi="Arial Narrow" w:cs="Times New Roman"/>
      <w:color w:val="FF0000"/>
      <w:sz w:val="16"/>
      <w:szCs w:val="16"/>
      <w:lang w:eastAsia="en-ZA"/>
    </w:rPr>
  </w:style>
  <w:style w:type="paragraph" w:customStyle="1" w:styleId="xl132">
    <w:name w:val="xl132"/>
    <w:basedOn w:val="Normal"/>
    <w:rsid w:val="00E16140"/>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FF0000"/>
      <w:sz w:val="16"/>
      <w:szCs w:val="16"/>
      <w:lang w:eastAsia="en-ZA"/>
    </w:rPr>
  </w:style>
  <w:style w:type="paragraph" w:customStyle="1" w:styleId="xl133">
    <w:name w:val="xl133"/>
    <w:basedOn w:val="Normal"/>
    <w:rsid w:val="00E16140"/>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FF0000"/>
      <w:sz w:val="16"/>
      <w:szCs w:val="16"/>
      <w:lang w:eastAsia="en-ZA"/>
    </w:rPr>
  </w:style>
  <w:style w:type="paragraph" w:customStyle="1" w:styleId="xl134">
    <w:name w:val="xl134"/>
    <w:basedOn w:val="Normal"/>
    <w:rsid w:val="00E161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35">
    <w:name w:val="xl135"/>
    <w:basedOn w:val="Normal"/>
    <w:rsid w:val="00E16140"/>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36">
    <w:name w:val="xl136"/>
    <w:basedOn w:val="Normal"/>
    <w:rsid w:val="00E161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37">
    <w:name w:val="xl137"/>
    <w:basedOn w:val="Normal"/>
    <w:rsid w:val="00E161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38">
    <w:name w:val="xl138"/>
    <w:basedOn w:val="Normal"/>
    <w:rsid w:val="00E16140"/>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39">
    <w:name w:val="xl139"/>
    <w:basedOn w:val="Normal"/>
    <w:rsid w:val="00E161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40">
    <w:name w:val="xl140"/>
    <w:basedOn w:val="Normal"/>
    <w:rsid w:val="00E16140"/>
    <w:pPr>
      <w:spacing w:before="100" w:beforeAutospacing="1" w:after="100" w:afterAutospacing="1" w:line="240" w:lineRule="auto"/>
      <w:jc w:val="center"/>
    </w:pPr>
    <w:rPr>
      <w:rFonts w:ascii="Arial Narrow" w:eastAsia="Times New Roman" w:hAnsi="Arial Narrow" w:cs="Times New Roman"/>
      <w:i/>
      <w:iCs/>
      <w:sz w:val="16"/>
      <w:szCs w:val="16"/>
      <w:lang w:eastAsia="en-ZA"/>
    </w:rPr>
  </w:style>
  <w:style w:type="paragraph" w:customStyle="1" w:styleId="xl141">
    <w:name w:val="xl141"/>
    <w:basedOn w:val="Normal"/>
    <w:rsid w:val="00E16140"/>
    <w:pPr>
      <w:pBdr>
        <w:top w:val="single" w:sz="4" w:space="0" w:color="auto"/>
        <w:left w:val="single" w:sz="4" w:space="0" w:color="auto"/>
      </w:pBdr>
      <w:spacing w:before="100" w:beforeAutospacing="1" w:after="100" w:afterAutospacing="1" w:line="240" w:lineRule="auto"/>
      <w:jc w:val="center"/>
    </w:pPr>
    <w:rPr>
      <w:rFonts w:ascii="Arial Narrow" w:eastAsia="Times New Roman" w:hAnsi="Arial Narrow" w:cs="Times New Roman"/>
      <w:i/>
      <w:iCs/>
      <w:sz w:val="16"/>
      <w:szCs w:val="16"/>
      <w:lang w:eastAsia="en-ZA"/>
    </w:rPr>
  </w:style>
  <w:style w:type="paragraph" w:customStyle="1" w:styleId="xl142">
    <w:name w:val="xl142"/>
    <w:basedOn w:val="Normal"/>
    <w:rsid w:val="00E16140"/>
    <w:pPr>
      <w:pBdr>
        <w:top w:val="single" w:sz="4" w:space="0" w:color="auto"/>
      </w:pBdr>
      <w:spacing w:before="100" w:beforeAutospacing="1" w:after="100" w:afterAutospacing="1" w:line="240" w:lineRule="auto"/>
      <w:jc w:val="center"/>
    </w:pPr>
    <w:rPr>
      <w:rFonts w:ascii="Arial Narrow" w:eastAsia="Times New Roman" w:hAnsi="Arial Narrow" w:cs="Times New Roman"/>
      <w:i/>
      <w:iCs/>
      <w:sz w:val="16"/>
      <w:szCs w:val="16"/>
      <w:lang w:eastAsia="en-ZA"/>
    </w:rPr>
  </w:style>
  <w:style w:type="paragraph" w:customStyle="1" w:styleId="xl143">
    <w:name w:val="xl143"/>
    <w:basedOn w:val="Normal"/>
    <w:rsid w:val="00E16140"/>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i/>
      <w:iCs/>
      <w:sz w:val="16"/>
      <w:szCs w:val="16"/>
      <w:lang w:eastAsia="en-ZA"/>
    </w:rPr>
  </w:style>
  <w:style w:type="paragraph" w:customStyle="1" w:styleId="xl144">
    <w:name w:val="xl144"/>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45">
    <w:name w:val="xl145"/>
    <w:basedOn w:val="Normal"/>
    <w:rsid w:val="00E16140"/>
    <w:pPr>
      <w:pBdr>
        <w:lef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46">
    <w:name w:val="xl146"/>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47">
    <w:name w:val="xl147"/>
    <w:basedOn w:val="Normal"/>
    <w:rsid w:val="00E16140"/>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cs="Times New Roman"/>
      <w:sz w:val="16"/>
      <w:szCs w:val="16"/>
      <w:lang w:eastAsia="en-ZA"/>
    </w:rPr>
  </w:style>
  <w:style w:type="paragraph" w:customStyle="1" w:styleId="xl148">
    <w:name w:val="xl148"/>
    <w:basedOn w:val="Normal"/>
    <w:rsid w:val="00E161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49">
    <w:name w:val="xl149"/>
    <w:basedOn w:val="Normal"/>
    <w:rsid w:val="00E161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50">
    <w:name w:val="xl150"/>
    <w:basedOn w:val="Normal"/>
    <w:rsid w:val="00E161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51">
    <w:name w:val="xl151"/>
    <w:basedOn w:val="Normal"/>
    <w:rsid w:val="00E16140"/>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52">
    <w:name w:val="xl152"/>
    <w:basedOn w:val="Normal"/>
    <w:rsid w:val="00E161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ZA"/>
    </w:rPr>
  </w:style>
  <w:style w:type="paragraph" w:customStyle="1" w:styleId="xl153">
    <w:name w:val="xl153"/>
    <w:basedOn w:val="Normal"/>
    <w:rsid w:val="00E16140"/>
    <w:pPr>
      <w:spacing w:before="100" w:beforeAutospacing="1" w:after="100" w:afterAutospacing="1" w:line="240" w:lineRule="auto"/>
      <w:jc w:val="center"/>
    </w:pPr>
    <w:rPr>
      <w:rFonts w:ascii="Arial Narrow" w:eastAsia="Times New Roman" w:hAnsi="Arial Narrow" w:cs="Times New Roman"/>
      <w:i/>
      <w:iCs/>
      <w:sz w:val="16"/>
      <w:szCs w:val="16"/>
      <w:lang w:eastAsia="en-ZA"/>
    </w:rPr>
  </w:style>
  <w:style w:type="paragraph" w:customStyle="1" w:styleId="Style1-Heading1">
    <w:name w:val="Style1 - Heading 1"/>
    <w:basedOn w:val="MariNCHeading1"/>
    <w:link w:val="Style1-Heading1Char"/>
    <w:qFormat/>
    <w:rsid w:val="00E16140"/>
    <w:pPr>
      <w:pBdr>
        <w:bottom w:val="single" w:sz="4" w:space="1" w:color="auto"/>
      </w:pBdr>
      <w:shd w:val="clear" w:color="auto" w:fill="92D050"/>
    </w:pPr>
    <w:rPr>
      <w:rFonts w:ascii="CG Omega" w:hAnsi="CG Omega" w:cs="Calibri Light"/>
      <w:color w:val="FFFFFF"/>
      <w:sz w:val="56"/>
    </w:rPr>
  </w:style>
  <w:style w:type="character" w:customStyle="1" w:styleId="Style1-Heading1Char">
    <w:name w:val="Style1 - Heading 1 Char"/>
    <w:basedOn w:val="MariNCHeading1Char"/>
    <w:link w:val="Style1-Heading1"/>
    <w:rsid w:val="00E16140"/>
    <w:rPr>
      <w:rFonts w:ascii="CG Omega" w:eastAsia="Calibri" w:hAnsi="CG Omega" w:cs="Calibri Light"/>
      <w:b/>
      <w:caps/>
      <w:color w:val="FFFFFF"/>
      <w:sz w:val="56"/>
      <w:shd w:val="clear" w:color="auto" w:fill="92D050"/>
    </w:rPr>
  </w:style>
  <w:style w:type="character" w:customStyle="1" w:styleId="BodyTextChar">
    <w:name w:val="Body Text Char"/>
    <w:basedOn w:val="DefaultParagraphFont"/>
    <w:link w:val="BodyText"/>
    <w:semiHidden/>
    <w:rsid w:val="007B1CCB"/>
    <w:rPr>
      <w:rFonts w:ascii="Tahoma" w:eastAsia="Times New Roman" w:hAnsi="Tahoma" w:cs="Times New Roman"/>
      <w:szCs w:val="20"/>
      <w:lang w:val="en-GB"/>
    </w:rPr>
  </w:style>
  <w:style w:type="paragraph" w:styleId="BodyText">
    <w:name w:val="Body Text"/>
    <w:basedOn w:val="Normal"/>
    <w:link w:val="BodyTextChar"/>
    <w:semiHidden/>
    <w:rsid w:val="007B1CCB"/>
    <w:pPr>
      <w:spacing w:after="120" w:line="240" w:lineRule="auto"/>
      <w:jc w:val="both"/>
    </w:pPr>
    <w:rPr>
      <w:rFonts w:ascii="Tahoma" w:eastAsia="Times New Roman" w:hAnsi="Tahoma" w:cs="Times New Roman"/>
      <w:szCs w:val="20"/>
      <w:lang w:val="en-GB"/>
    </w:rPr>
  </w:style>
  <w:style w:type="character" w:customStyle="1" w:styleId="BodyTextChar1">
    <w:name w:val="Body Text Char1"/>
    <w:basedOn w:val="DefaultParagraphFont"/>
    <w:uiPriority w:val="99"/>
    <w:semiHidden/>
    <w:rsid w:val="007B1CCB"/>
  </w:style>
  <w:style w:type="character" w:customStyle="1" w:styleId="Heading3Char">
    <w:name w:val="Heading 3 Char"/>
    <w:basedOn w:val="DefaultParagraphFont"/>
    <w:link w:val="Heading3"/>
    <w:uiPriority w:val="9"/>
    <w:rsid w:val="00080DA7"/>
    <w:rPr>
      <w:rFonts w:asciiTheme="majorHAnsi" w:eastAsiaTheme="majorEastAsia" w:hAnsiTheme="majorHAnsi" w:cstheme="majorBidi"/>
      <w:b/>
      <w:sz w:val="24"/>
      <w:szCs w:val="24"/>
      <w:shd w:val="clear" w:color="auto" w:fill="92D050"/>
    </w:rPr>
  </w:style>
  <w:style w:type="paragraph" w:styleId="TOC3">
    <w:name w:val="toc 3"/>
    <w:basedOn w:val="Normal"/>
    <w:next w:val="Normal"/>
    <w:autoRedefine/>
    <w:uiPriority w:val="39"/>
    <w:unhideWhenUsed/>
    <w:rsid w:val="002118D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8877">
      <w:bodyDiv w:val="1"/>
      <w:marLeft w:val="0"/>
      <w:marRight w:val="0"/>
      <w:marTop w:val="0"/>
      <w:marBottom w:val="0"/>
      <w:divBdr>
        <w:top w:val="none" w:sz="0" w:space="0" w:color="auto"/>
        <w:left w:val="none" w:sz="0" w:space="0" w:color="auto"/>
        <w:bottom w:val="none" w:sz="0" w:space="0" w:color="auto"/>
        <w:right w:val="none" w:sz="0" w:space="0" w:color="auto"/>
      </w:divBdr>
    </w:div>
    <w:div w:id="227621065">
      <w:bodyDiv w:val="1"/>
      <w:marLeft w:val="0"/>
      <w:marRight w:val="0"/>
      <w:marTop w:val="0"/>
      <w:marBottom w:val="0"/>
      <w:divBdr>
        <w:top w:val="none" w:sz="0" w:space="0" w:color="auto"/>
        <w:left w:val="none" w:sz="0" w:space="0" w:color="auto"/>
        <w:bottom w:val="none" w:sz="0" w:space="0" w:color="auto"/>
        <w:right w:val="none" w:sz="0" w:space="0" w:color="auto"/>
      </w:divBdr>
    </w:div>
    <w:div w:id="231819309">
      <w:bodyDiv w:val="1"/>
      <w:marLeft w:val="0"/>
      <w:marRight w:val="0"/>
      <w:marTop w:val="0"/>
      <w:marBottom w:val="0"/>
      <w:divBdr>
        <w:top w:val="none" w:sz="0" w:space="0" w:color="auto"/>
        <w:left w:val="none" w:sz="0" w:space="0" w:color="auto"/>
        <w:bottom w:val="none" w:sz="0" w:space="0" w:color="auto"/>
        <w:right w:val="none" w:sz="0" w:space="0" w:color="auto"/>
      </w:divBdr>
    </w:div>
    <w:div w:id="256795040">
      <w:bodyDiv w:val="1"/>
      <w:marLeft w:val="0"/>
      <w:marRight w:val="0"/>
      <w:marTop w:val="0"/>
      <w:marBottom w:val="0"/>
      <w:divBdr>
        <w:top w:val="none" w:sz="0" w:space="0" w:color="auto"/>
        <w:left w:val="none" w:sz="0" w:space="0" w:color="auto"/>
        <w:bottom w:val="none" w:sz="0" w:space="0" w:color="auto"/>
        <w:right w:val="none" w:sz="0" w:space="0" w:color="auto"/>
      </w:divBdr>
    </w:div>
    <w:div w:id="325599626">
      <w:bodyDiv w:val="1"/>
      <w:marLeft w:val="0"/>
      <w:marRight w:val="0"/>
      <w:marTop w:val="0"/>
      <w:marBottom w:val="0"/>
      <w:divBdr>
        <w:top w:val="none" w:sz="0" w:space="0" w:color="auto"/>
        <w:left w:val="none" w:sz="0" w:space="0" w:color="auto"/>
        <w:bottom w:val="none" w:sz="0" w:space="0" w:color="auto"/>
        <w:right w:val="none" w:sz="0" w:space="0" w:color="auto"/>
      </w:divBdr>
    </w:div>
    <w:div w:id="326514848">
      <w:bodyDiv w:val="1"/>
      <w:marLeft w:val="0"/>
      <w:marRight w:val="0"/>
      <w:marTop w:val="0"/>
      <w:marBottom w:val="0"/>
      <w:divBdr>
        <w:top w:val="none" w:sz="0" w:space="0" w:color="auto"/>
        <w:left w:val="none" w:sz="0" w:space="0" w:color="auto"/>
        <w:bottom w:val="none" w:sz="0" w:space="0" w:color="auto"/>
        <w:right w:val="none" w:sz="0" w:space="0" w:color="auto"/>
      </w:divBdr>
    </w:div>
    <w:div w:id="373505144">
      <w:bodyDiv w:val="1"/>
      <w:marLeft w:val="0"/>
      <w:marRight w:val="0"/>
      <w:marTop w:val="0"/>
      <w:marBottom w:val="0"/>
      <w:divBdr>
        <w:top w:val="none" w:sz="0" w:space="0" w:color="auto"/>
        <w:left w:val="none" w:sz="0" w:space="0" w:color="auto"/>
        <w:bottom w:val="none" w:sz="0" w:space="0" w:color="auto"/>
        <w:right w:val="none" w:sz="0" w:space="0" w:color="auto"/>
      </w:divBdr>
    </w:div>
    <w:div w:id="398553366">
      <w:bodyDiv w:val="1"/>
      <w:marLeft w:val="0"/>
      <w:marRight w:val="0"/>
      <w:marTop w:val="0"/>
      <w:marBottom w:val="0"/>
      <w:divBdr>
        <w:top w:val="none" w:sz="0" w:space="0" w:color="auto"/>
        <w:left w:val="none" w:sz="0" w:space="0" w:color="auto"/>
        <w:bottom w:val="none" w:sz="0" w:space="0" w:color="auto"/>
        <w:right w:val="none" w:sz="0" w:space="0" w:color="auto"/>
      </w:divBdr>
    </w:div>
    <w:div w:id="445080135">
      <w:bodyDiv w:val="1"/>
      <w:marLeft w:val="0"/>
      <w:marRight w:val="0"/>
      <w:marTop w:val="0"/>
      <w:marBottom w:val="0"/>
      <w:divBdr>
        <w:top w:val="none" w:sz="0" w:space="0" w:color="auto"/>
        <w:left w:val="none" w:sz="0" w:space="0" w:color="auto"/>
        <w:bottom w:val="none" w:sz="0" w:space="0" w:color="auto"/>
        <w:right w:val="none" w:sz="0" w:space="0" w:color="auto"/>
      </w:divBdr>
    </w:div>
    <w:div w:id="483355153">
      <w:bodyDiv w:val="1"/>
      <w:marLeft w:val="0"/>
      <w:marRight w:val="0"/>
      <w:marTop w:val="0"/>
      <w:marBottom w:val="0"/>
      <w:divBdr>
        <w:top w:val="none" w:sz="0" w:space="0" w:color="auto"/>
        <w:left w:val="none" w:sz="0" w:space="0" w:color="auto"/>
        <w:bottom w:val="none" w:sz="0" w:space="0" w:color="auto"/>
        <w:right w:val="none" w:sz="0" w:space="0" w:color="auto"/>
      </w:divBdr>
    </w:div>
    <w:div w:id="483816319">
      <w:bodyDiv w:val="1"/>
      <w:marLeft w:val="0"/>
      <w:marRight w:val="0"/>
      <w:marTop w:val="0"/>
      <w:marBottom w:val="0"/>
      <w:divBdr>
        <w:top w:val="none" w:sz="0" w:space="0" w:color="auto"/>
        <w:left w:val="none" w:sz="0" w:space="0" w:color="auto"/>
        <w:bottom w:val="none" w:sz="0" w:space="0" w:color="auto"/>
        <w:right w:val="none" w:sz="0" w:space="0" w:color="auto"/>
      </w:divBdr>
    </w:div>
    <w:div w:id="584415252">
      <w:bodyDiv w:val="1"/>
      <w:marLeft w:val="0"/>
      <w:marRight w:val="0"/>
      <w:marTop w:val="0"/>
      <w:marBottom w:val="0"/>
      <w:divBdr>
        <w:top w:val="none" w:sz="0" w:space="0" w:color="auto"/>
        <w:left w:val="none" w:sz="0" w:space="0" w:color="auto"/>
        <w:bottom w:val="none" w:sz="0" w:space="0" w:color="auto"/>
        <w:right w:val="none" w:sz="0" w:space="0" w:color="auto"/>
      </w:divBdr>
    </w:div>
    <w:div w:id="632490776">
      <w:bodyDiv w:val="1"/>
      <w:marLeft w:val="0"/>
      <w:marRight w:val="0"/>
      <w:marTop w:val="0"/>
      <w:marBottom w:val="0"/>
      <w:divBdr>
        <w:top w:val="none" w:sz="0" w:space="0" w:color="auto"/>
        <w:left w:val="none" w:sz="0" w:space="0" w:color="auto"/>
        <w:bottom w:val="none" w:sz="0" w:space="0" w:color="auto"/>
        <w:right w:val="none" w:sz="0" w:space="0" w:color="auto"/>
      </w:divBdr>
    </w:div>
    <w:div w:id="731004988">
      <w:bodyDiv w:val="1"/>
      <w:marLeft w:val="0"/>
      <w:marRight w:val="0"/>
      <w:marTop w:val="0"/>
      <w:marBottom w:val="0"/>
      <w:divBdr>
        <w:top w:val="none" w:sz="0" w:space="0" w:color="auto"/>
        <w:left w:val="none" w:sz="0" w:space="0" w:color="auto"/>
        <w:bottom w:val="none" w:sz="0" w:space="0" w:color="auto"/>
        <w:right w:val="none" w:sz="0" w:space="0" w:color="auto"/>
      </w:divBdr>
    </w:div>
    <w:div w:id="752314823">
      <w:bodyDiv w:val="1"/>
      <w:marLeft w:val="0"/>
      <w:marRight w:val="0"/>
      <w:marTop w:val="0"/>
      <w:marBottom w:val="0"/>
      <w:divBdr>
        <w:top w:val="none" w:sz="0" w:space="0" w:color="auto"/>
        <w:left w:val="none" w:sz="0" w:space="0" w:color="auto"/>
        <w:bottom w:val="none" w:sz="0" w:space="0" w:color="auto"/>
        <w:right w:val="none" w:sz="0" w:space="0" w:color="auto"/>
      </w:divBdr>
    </w:div>
    <w:div w:id="758212658">
      <w:bodyDiv w:val="1"/>
      <w:marLeft w:val="0"/>
      <w:marRight w:val="0"/>
      <w:marTop w:val="0"/>
      <w:marBottom w:val="0"/>
      <w:divBdr>
        <w:top w:val="none" w:sz="0" w:space="0" w:color="auto"/>
        <w:left w:val="none" w:sz="0" w:space="0" w:color="auto"/>
        <w:bottom w:val="none" w:sz="0" w:space="0" w:color="auto"/>
        <w:right w:val="none" w:sz="0" w:space="0" w:color="auto"/>
      </w:divBdr>
    </w:div>
    <w:div w:id="784084121">
      <w:bodyDiv w:val="1"/>
      <w:marLeft w:val="0"/>
      <w:marRight w:val="0"/>
      <w:marTop w:val="0"/>
      <w:marBottom w:val="0"/>
      <w:divBdr>
        <w:top w:val="none" w:sz="0" w:space="0" w:color="auto"/>
        <w:left w:val="none" w:sz="0" w:space="0" w:color="auto"/>
        <w:bottom w:val="none" w:sz="0" w:space="0" w:color="auto"/>
        <w:right w:val="none" w:sz="0" w:space="0" w:color="auto"/>
      </w:divBdr>
    </w:div>
    <w:div w:id="895314435">
      <w:bodyDiv w:val="1"/>
      <w:marLeft w:val="0"/>
      <w:marRight w:val="0"/>
      <w:marTop w:val="0"/>
      <w:marBottom w:val="0"/>
      <w:divBdr>
        <w:top w:val="none" w:sz="0" w:space="0" w:color="auto"/>
        <w:left w:val="none" w:sz="0" w:space="0" w:color="auto"/>
        <w:bottom w:val="none" w:sz="0" w:space="0" w:color="auto"/>
        <w:right w:val="none" w:sz="0" w:space="0" w:color="auto"/>
      </w:divBdr>
    </w:div>
    <w:div w:id="920791335">
      <w:bodyDiv w:val="1"/>
      <w:marLeft w:val="0"/>
      <w:marRight w:val="0"/>
      <w:marTop w:val="0"/>
      <w:marBottom w:val="0"/>
      <w:divBdr>
        <w:top w:val="none" w:sz="0" w:space="0" w:color="auto"/>
        <w:left w:val="none" w:sz="0" w:space="0" w:color="auto"/>
        <w:bottom w:val="none" w:sz="0" w:space="0" w:color="auto"/>
        <w:right w:val="none" w:sz="0" w:space="0" w:color="auto"/>
      </w:divBdr>
    </w:div>
    <w:div w:id="947541178">
      <w:bodyDiv w:val="1"/>
      <w:marLeft w:val="0"/>
      <w:marRight w:val="0"/>
      <w:marTop w:val="0"/>
      <w:marBottom w:val="0"/>
      <w:divBdr>
        <w:top w:val="none" w:sz="0" w:space="0" w:color="auto"/>
        <w:left w:val="none" w:sz="0" w:space="0" w:color="auto"/>
        <w:bottom w:val="none" w:sz="0" w:space="0" w:color="auto"/>
        <w:right w:val="none" w:sz="0" w:space="0" w:color="auto"/>
      </w:divBdr>
    </w:div>
    <w:div w:id="1019619902">
      <w:bodyDiv w:val="1"/>
      <w:marLeft w:val="0"/>
      <w:marRight w:val="0"/>
      <w:marTop w:val="0"/>
      <w:marBottom w:val="0"/>
      <w:divBdr>
        <w:top w:val="none" w:sz="0" w:space="0" w:color="auto"/>
        <w:left w:val="none" w:sz="0" w:space="0" w:color="auto"/>
        <w:bottom w:val="none" w:sz="0" w:space="0" w:color="auto"/>
        <w:right w:val="none" w:sz="0" w:space="0" w:color="auto"/>
      </w:divBdr>
    </w:div>
    <w:div w:id="1036613435">
      <w:bodyDiv w:val="1"/>
      <w:marLeft w:val="0"/>
      <w:marRight w:val="0"/>
      <w:marTop w:val="0"/>
      <w:marBottom w:val="0"/>
      <w:divBdr>
        <w:top w:val="none" w:sz="0" w:space="0" w:color="auto"/>
        <w:left w:val="none" w:sz="0" w:space="0" w:color="auto"/>
        <w:bottom w:val="none" w:sz="0" w:space="0" w:color="auto"/>
        <w:right w:val="none" w:sz="0" w:space="0" w:color="auto"/>
      </w:divBdr>
    </w:div>
    <w:div w:id="1095633844">
      <w:bodyDiv w:val="1"/>
      <w:marLeft w:val="0"/>
      <w:marRight w:val="0"/>
      <w:marTop w:val="0"/>
      <w:marBottom w:val="0"/>
      <w:divBdr>
        <w:top w:val="none" w:sz="0" w:space="0" w:color="auto"/>
        <w:left w:val="none" w:sz="0" w:space="0" w:color="auto"/>
        <w:bottom w:val="none" w:sz="0" w:space="0" w:color="auto"/>
        <w:right w:val="none" w:sz="0" w:space="0" w:color="auto"/>
      </w:divBdr>
    </w:div>
    <w:div w:id="1233589407">
      <w:bodyDiv w:val="1"/>
      <w:marLeft w:val="0"/>
      <w:marRight w:val="0"/>
      <w:marTop w:val="0"/>
      <w:marBottom w:val="0"/>
      <w:divBdr>
        <w:top w:val="none" w:sz="0" w:space="0" w:color="auto"/>
        <w:left w:val="none" w:sz="0" w:space="0" w:color="auto"/>
        <w:bottom w:val="none" w:sz="0" w:space="0" w:color="auto"/>
        <w:right w:val="none" w:sz="0" w:space="0" w:color="auto"/>
      </w:divBdr>
    </w:div>
    <w:div w:id="1311789246">
      <w:bodyDiv w:val="1"/>
      <w:marLeft w:val="0"/>
      <w:marRight w:val="0"/>
      <w:marTop w:val="0"/>
      <w:marBottom w:val="0"/>
      <w:divBdr>
        <w:top w:val="none" w:sz="0" w:space="0" w:color="auto"/>
        <w:left w:val="none" w:sz="0" w:space="0" w:color="auto"/>
        <w:bottom w:val="none" w:sz="0" w:space="0" w:color="auto"/>
        <w:right w:val="none" w:sz="0" w:space="0" w:color="auto"/>
      </w:divBdr>
    </w:div>
    <w:div w:id="1376076357">
      <w:bodyDiv w:val="1"/>
      <w:marLeft w:val="0"/>
      <w:marRight w:val="0"/>
      <w:marTop w:val="0"/>
      <w:marBottom w:val="0"/>
      <w:divBdr>
        <w:top w:val="none" w:sz="0" w:space="0" w:color="auto"/>
        <w:left w:val="none" w:sz="0" w:space="0" w:color="auto"/>
        <w:bottom w:val="none" w:sz="0" w:space="0" w:color="auto"/>
        <w:right w:val="none" w:sz="0" w:space="0" w:color="auto"/>
      </w:divBdr>
    </w:div>
    <w:div w:id="1436100396">
      <w:bodyDiv w:val="1"/>
      <w:marLeft w:val="0"/>
      <w:marRight w:val="0"/>
      <w:marTop w:val="0"/>
      <w:marBottom w:val="0"/>
      <w:divBdr>
        <w:top w:val="none" w:sz="0" w:space="0" w:color="auto"/>
        <w:left w:val="none" w:sz="0" w:space="0" w:color="auto"/>
        <w:bottom w:val="none" w:sz="0" w:space="0" w:color="auto"/>
        <w:right w:val="none" w:sz="0" w:space="0" w:color="auto"/>
      </w:divBdr>
    </w:div>
    <w:div w:id="1488204550">
      <w:bodyDiv w:val="1"/>
      <w:marLeft w:val="0"/>
      <w:marRight w:val="0"/>
      <w:marTop w:val="0"/>
      <w:marBottom w:val="0"/>
      <w:divBdr>
        <w:top w:val="none" w:sz="0" w:space="0" w:color="auto"/>
        <w:left w:val="none" w:sz="0" w:space="0" w:color="auto"/>
        <w:bottom w:val="none" w:sz="0" w:space="0" w:color="auto"/>
        <w:right w:val="none" w:sz="0" w:space="0" w:color="auto"/>
      </w:divBdr>
    </w:div>
    <w:div w:id="1490637958">
      <w:bodyDiv w:val="1"/>
      <w:marLeft w:val="0"/>
      <w:marRight w:val="0"/>
      <w:marTop w:val="0"/>
      <w:marBottom w:val="0"/>
      <w:divBdr>
        <w:top w:val="none" w:sz="0" w:space="0" w:color="auto"/>
        <w:left w:val="none" w:sz="0" w:space="0" w:color="auto"/>
        <w:bottom w:val="none" w:sz="0" w:space="0" w:color="auto"/>
        <w:right w:val="none" w:sz="0" w:space="0" w:color="auto"/>
      </w:divBdr>
    </w:div>
    <w:div w:id="1491865316">
      <w:bodyDiv w:val="1"/>
      <w:marLeft w:val="0"/>
      <w:marRight w:val="0"/>
      <w:marTop w:val="0"/>
      <w:marBottom w:val="0"/>
      <w:divBdr>
        <w:top w:val="none" w:sz="0" w:space="0" w:color="auto"/>
        <w:left w:val="none" w:sz="0" w:space="0" w:color="auto"/>
        <w:bottom w:val="none" w:sz="0" w:space="0" w:color="auto"/>
        <w:right w:val="none" w:sz="0" w:space="0" w:color="auto"/>
      </w:divBdr>
    </w:div>
    <w:div w:id="1541433330">
      <w:bodyDiv w:val="1"/>
      <w:marLeft w:val="0"/>
      <w:marRight w:val="0"/>
      <w:marTop w:val="0"/>
      <w:marBottom w:val="0"/>
      <w:divBdr>
        <w:top w:val="none" w:sz="0" w:space="0" w:color="auto"/>
        <w:left w:val="none" w:sz="0" w:space="0" w:color="auto"/>
        <w:bottom w:val="none" w:sz="0" w:space="0" w:color="auto"/>
        <w:right w:val="none" w:sz="0" w:space="0" w:color="auto"/>
      </w:divBdr>
    </w:div>
    <w:div w:id="1544368749">
      <w:bodyDiv w:val="1"/>
      <w:marLeft w:val="0"/>
      <w:marRight w:val="0"/>
      <w:marTop w:val="0"/>
      <w:marBottom w:val="0"/>
      <w:divBdr>
        <w:top w:val="none" w:sz="0" w:space="0" w:color="auto"/>
        <w:left w:val="none" w:sz="0" w:space="0" w:color="auto"/>
        <w:bottom w:val="none" w:sz="0" w:space="0" w:color="auto"/>
        <w:right w:val="none" w:sz="0" w:space="0" w:color="auto"/>
      </w:divBdr>
    </w:div>
    <w:div w:id="1615552299">
      <w:bodyDiv w:val="1"/>
      <w:marLeft w:val="0"/>
      <w:marRight w:val="0"/>
      <w:marTop w:val="0"/>
      <w:marBottom w:val="0"/>
      <w:divBdr>
        <w:top w:val="none" w:sz="0" w:space="0" w:color="auto"/>
        <w:left w:val="none" w:sz="0" w:space="0" w:color="auto"/>
        <w:bottom w:val="none" w:sz="0" w:space="0" w:color="auto"/>
        <w:right w:val="none" w:sz="0" w:space="0" w:color="auto"/>
      </w:divBdr>
    </w:div>
    <w:div w:id="1698316530">
      <w:bodyDiv w:val="1"/>
      <w:marLeft w:val="0"/>
      <w:marRight w:val="0"/>
      <w:marTop w:val="0"/>
      <w:marBottom w:val="0"/>
      <w:divBdr>
        <w:top w:val="none" w:sz="0" w:space="0" w:color="auto"/>
        <w:left w:val="none" w:sz="0" w:space="0" w:color="auto"/>
        <w:bottom w:val="none" w:sz="0" w:space="0" w:color="auto"/>
        <w:right w:val="none" w:sz="0" w:space="0" w:color="auto"/>
      </w:divBdr>
    </w:div>
    <w:div w:id="1858496295">
      <w:bodyDiv w:val="1"/>
      <w:marLeft w:val="0"/>
      <w:marRight w:val="0"/>
      <w:marTop w:val="0"/>
      <w:marBottom w:val="0"/>
      <w:divBdr>
        <w:top w:val="none" w:sz="0" w:space="0" w:color="auto"/>
        <w:left w:val="none" w:sz="0" w:space="0" w:color="auto"/>
        <w:bottom w:val="none" w:sz="0" w:space="0" w:color="auto"/>
        <w:right w:val="none" w:sz="0" w:space="0" w:color="auto"/>
      </w:divBdr>
    </w:div>
    <w:div w:id="1873152698">
      <w:bodyDiv w:val="1"/>
      <w:marLeft w:val="0"/>
      <w:marRight w:val="0"/>
      <w:marTop w:val="0"/>
      <w:marBottom w:val="0"/>
      <w:divBdr>
        <w:top w:val="none" w:sz="0" w:space="0" w:color="auto"/>
        <w:left w:val="none" w:sz="0" w:space="0" w:color="auto"/>
        <w:bottom w:val="none" w:sz="0" w:space="0" w:color="auto"/>
        <w:right w:val="none" w:sz="0" w:space="0" w:color="auto"/>
      </w:divBdr>
    </w:div>
    <w:div w:id="1897692602">
      <w:bodyDiv w:val="1"/>
      <w:marLeft w:val="0"/>
      <w:marRight w:val="0"/>
      <w:marTop w:val="0"/>
      <w:marBottom w:val="0"/>
      <w:divBdr>
        <w:top w:val="none" w:sz="0" w:space="0" w:color="auto"/>
        <w:left w:val="none" w:sz="0" w:space="0" w:color="auto"/>
        <w:bottom w:val="none" w:sz="0" w:space="0" w:color="auto"/>
        <w:right w:val="none" w:sz="0" w:space="0" w:color="auto"/>
      </w:divBdr>
    </w:div>
    <w:div w:id="1961063823">
      <w:bodyDiv w:val="1"/>
      <w:marLeft w:val="0"/>
      <w:marRight w:val="0"/>
      <w:marTop w:val="0"/>
      <w:marBottom w:val="0"/>
      <w:divBdr>
        <w:top w:val="none" w:sz="0" w:space="0" w:color="auto"/>
        <w:left w:val="none" w:sz="0" w:space="0" w:color="auto"/>
        <w:bottom w:val="none" w:sz="0" w:space="0" w:color="auto"/>
        <w:right w:val="none" w:sz="0" w:space="0" w:color="auto"/>
      </w:divBdr>
    </w:div>
    <w:div w:id="2057578488">
      <w:bodyDiv w:val="1"/>
      <w:marLeft w:val="0"/>
      <w:marRight w:val="0"/>
      <w:marTop w:val="0"/>
      <w:marBottom w:val="0"/>
      <w:divBdr>
        <w:top w:val="none" w:sz="0" w:space="0" w:color="auto"/>
        <w:left w:val="none" w:sz="0" w:space="0" w:color="auto"/>
        <w:bottom w:val="none" w:sz="0" w:space="0" w:color="auto"/>
        <w:right w:val="none" w:sz="0" w:space="0" w:color="auto"/>
      </w:divBdr>
    </w:div>
    <w:div w:id="2061123547">
      <w:bodyDiv w:val="1"/>
      <w:marLeft w:val="0"/>
      <w:marRight w:val="0"/>
      <w:marTop w:val="0"/>
      <w:marBottom w:val="0"/>
      <w:divBdr>
        <w:top w:val="none" w:sz="0" w:space="0" w:color="auto"/>
        <w:left w:val="none" w:sz="0" w:space="0" w:color="auto"/>
        <w:bottom w:val="none" w:sz="0" w:space="0" w:color="auto"/>
        <w:right w:val="none" w:sz="0" w:space="0" w:color="auto"/>
      </w:divBdr>
    </w:div>
    <w:div w:id="2065444609">
      <w:bodyDiv w:val="1"/>
      <w:marLeft w:val="0"/>
      <w:marRight w:val="0"/>
      <w:marTop w:val="0"/>
      <w:marBottom w:val="0"/>
      <w:divBdr>
        <w:top w:val="none" w:sz="0" w:space="0" w:color="auto"/>
        <w:left w:val="none" w:sz="0" w:space="0" w:color="auto"/>
        <w:bottom w:val="none" w:sz="0" w:space="0" w:color="auto"/>
        <w:right w:val="none" w:sz="0" w:space="0" w:color="auto"/>
      </w:divBdr>
    </w:div>
    <w:div w:id="210437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D4AA-3479-4D7F-9DE4-98A13AE9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3991</Words>
  <Characters>22754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Viljoen</dc:creator>
  <cp:keywords/>
  <dc:description/>
  <cp:lastModifiedBy>Marlon Baxter</cp:lastModifiedBy>
  <cp:revision>3</cp:revision>
  <cp:lastPrinted>2024-10-25T09:06:00Z</cp:lastPrinted>
  <dcterms:created xsi:type="dcterms:W3CDTF">2025-01-24T07:48:00Z</dcterms:created>
  <dcterms:modified xsi:type="dcterms:W3CDTF">2025-01-24T07:59:00Z</dcterms:modified>
</cp:coreProperties>
</file>